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2B391">
      <w:pPr>
        <w:spacing w:line="360" w:lineRule="auto"/>
        <w:ind w:firstLine="435"/>
        <w:rPr>
          <w:b/>
          <w:color w:val="FF0000"/>
          <w:sz w:val="24"/>
        </w:rPr>
      </w:pPr>
    </w:p>
    <w:p w14:paraId="371FB943">
      <w:pPr>
        <w:spacing w:line="360" w:lineRule="auto"/>
        <w:jc w:val="center"/>
        <w:rPr>
          <w:rFonts w:eastAsia="黑体"/>
          <w:sz w:val="32"/>
          <w:szCs w:val="32"/>
        </w:rPr>
      </w:pPr>
      <w:r>
        <w:rPr>
          <w:rFonts w:eastAsia="黑体"/>
          <w:sz w:val="32"/>
          <w:szCs w:val="32"/>
        </w:rPr>
        <w:t>团体标准《</w:t>
      </w:r>
      <w:r>
        <w:rPr>
          <w:rFonts w:eastAsia="黑体"/>
          <w:sz w:val="32"/>
        </w:rPr>
        <w:t>信息技术 高效图形数据编码 第3部分：点云主观质量评价方法</w:t>
      </w:r>
      <w:r>
        <w:rPr>
          <w:rFonts w:eastAsia="黑体"/>
          <w:sz w:val="32"/>
          <w:szCs w:val="32"/>
        </w:rPr>
        <w:t>》</w:t>
      </w:r>
      <w:r>
        <w:rPr>
          <w:rFonts w:hint="eastAsia" w:eastAsia="黑体"/>
          <w:sz w:val="32"/>
          <w:szCs w:val="32"/>
          <w:lang w:eastAsia="zh-CN"/>
        </w:rPr>
        <w:t>（</w:t>
      </w:r>
      <w:bookmarkStart w:id="14" w:name="_GoBack"/>
      <w:r>
        <w:rPr>
          <w:rFonts w:eastAsia="黑体"/>
          <w:sz w:val="32"/>
          <w:szCs w:val="32"/>
        </w:rPr>
        <w:t>征求意见稿</w:t>
      </w:r>
      <w:bookmarkEnd w:id="14"/>
      <w:r>
        <w:rPr>
          <w:rFonts w:hint="eastAsia" w:eastAsia="黑体"/>
          <w:sz w:val="32"/>
          <w:szCs w:val="32"/>
          <w:lang w:eastAsia="zh-CN"/>
        </w:rPr>
        <w:t>）</w:t>
      </w:r>
      <w:r>
        <w:rPr>
          <w:rFonts w:eastAsia="黑体"/>
          <w:sz w:val="32"/>
          <w:szCs w:val="32"/>
        </w:rPr>
        <w:t>编制说明</w:t>
      </w:r>
    </w:p>
    <w:p w14:paraId="57131548">
      <w:pPr>
        <w:spacing w:line="360" w:lineRule="auto"/>
        <w:ind w:firstLine="472" w:firstLineChars="196"/>
        <w:rPr>
          <w:b/>
          <w:bCs/>
          <w:sz w:val="24"/>
        </w:rPr>
      </w:pPr>
      <w:r>
        <w:rPr>
          <w:b/>
          <w:bCs/>
          <w:sz w:val="24"/>
        </w:rPr>
        <w:t>一、工作简况</w:t>
      </w:r>
    </w:p>
    <w:p w14:paraId="1224521C">
      <w:pPr>
        <w:pStyle w:val="24"/>
        <w:spacing w:line="360" w:lineRule="auto"/>
        <w:ind w:firstLine="480"/>
        <w:rPr>
          <w:rFonts w:ascii="Times New Roman"/>
          <w:sz w:val="24"/>
          <w:szCs w:val="24"/>
        </w:rPr>
      </w:pPr>
      <w:r>
        <w:rPr>
          <w:rFonts w:ascii="Times New Roman"/>
          <w:sz w:val="24"/>
          <w:szCs w:val="24"/>
        </w:rPr>
        <w:t>数字音视频编解码技术标准化工作组（简称AVS工作组）由国家信息产业部科学技术司于2002年6月批准成立。工作组的任务是：面向我国的信息产业需求，联合国内企业和科研机构，制（修）订数字音视频的压缩、解压缩、处理和表示等共性技术标准，为数字音视频设备与系统提供高效经济的编解码技术，服务于高分辨率数字广播、高密度激光数字存储媒体、无线宽带多媒体通讯、互联网宽带流媒体等重大信息产业应用。</w:t>
      </w:r>
    </w:p>
    <w:p w14:paraId="166EC5AE">
      <w:pPr>
        <w:pStyle w:val="24"/>
        <w:spacing w:line="360" w:lineRule="auto"/>
        <w:ind w:firstLine="480"/>
        <w:rPr>
          <w:rFonts w:ascii="Times New Roman"/>
          <w:sz w:val="24"/>
          <w:szCs w:val="24"/>
        </w:rPr>
      </w:pPr>
      <w:r>
        <w:rPr>
          <w:rFonts w:ascii="Times New Roman"/>
          <w:sz w:val="24"/>
          <w:szCs w:val="24"/>
        </w:rPr>
        <w:t>随着点云在新兴多媒体应用中的广泛使用，主观质量评价的重要性日益凸显。点云在自动驾驶、远程监控、虚拟现实、数字孪生、文化遗产保护等场景中被大量采集与使用，其感知质量直接影响系统性能与用户体验。然而，点云的非结构化特性和多维信息（包括几何与颜色）使得传统的二维视觉质量评价方法难以有效适用。建立一套科学、系统的点云主观质量评价体系，能够准确反映人类对三维场景的感知差异，为客观质量评价算法的设计、压缩标准的制定及传输优化提供重要依据。针对点云主观质量的深入研究与标准化，对于促进点云数据在多媒体通信、沉浸式媒体、工业检测及智能感知等领域的应用具有重要意义。。</w:t>
      </w:r>
    </w:p>
    <w:p w14:paraId="32A25EF5">
      <w:pPr>
        <w:pStyle w:val="24"/>
        <w:spacing w:line="360" w:lineRule="auto"/>
        <w:ind w:firstLine="480"/>
        <w:rPr>
          <w:rFonts w:ascii="Times New Roman"/>
          <w:sz w:val="24"/>
          <w:szCs w:val="24"/>
        </w:rPr>
      </w:pPr>
      <w:r>
        <w:rPr>
          <w:rFonts w:ascii="Times New Roman"/>
          <w:sz w:val="24"/>
          <w:szCs w:val="24"/>
        </w:rPr>
        <w:t>《信息技术 高效图形数据编码 第3部分：点云主观质量评价方法》（以下简称AVS点云</w:t>
      </w:r>
      <w:r>
        <w:rPr>
          <w:rFonts w:hint="eastAsia" w:ascii="Times New Roman"/>
          <w:sz w:val="24"/>
          <w:szCs w:val="24"/>
        </w:rPr>
        <w:t>主观</w:t>
      </w:r>
      <w:r>
        <w:rPr>
          <w:rFonts w:ascii="Times New Roman"/>
          <w:sz w:val="24"/>
          <w:szCs w:val="24"/>
        </w:rPr>
        <w:t>评价标准或AVS PCQA）规定了不同实验环境下的主观实验方法。本标准适用于带有颜色的密集点云。</w:t>
      </w:r>
    </w:p>
    <w:p w14:paraId="1A21A011">
      <w:pPr>
        <w:pStyle w:val="24"/>
        <w:spacing w:line="360" w:lineRule="auto"/>
        <w:ind w:firstLine="480"/>
        <w:rPr>
          <w:rFonts w:ascii="Times New Roman"/>
          <w:sz w:val="24"/>
          <w:szCs w:val="24"/>
        </w:rPr>
      </w:pPr>
      <w:r>
        <w:rPr>
          <w:rFonts w:ascii="Times New Roman"/>
          <w:sz w:val="24"/>
          <w:szCs w:val="24"/>
        </w:rPr>
        <w:t>本文件计划编号为</w:t>
      </w:r>
      <w:r>
        <w:rPr>
          <w:rFonts w:hint="eastAsia" w:ascii="Times New Roman"/>
          <w:sz w:val="24"/>
          <w:szCs w:val="24"/>
        </w:rPr>
        <w:t>2023092503</w:t>
      </w:r>
      <w:r>
        <w:rPr>
          <w:rFonts w:ascii="Times New Roman"/>
          <w:sz w:val="24"/>
          <w:szCs w:val="24"/>
        </w:rPr>
        <w:t>，主要技术包括：</w:t>
      </w:r>
    </w:p>
    <w:p w14:paraId="17067575">
      <w:pPr>
        <w:pStyle w:val="24"/>
        <w:numPr>
          <w:ilvl w:val="0"/>
          <w:numId w:val="2"/>
        </w:numPr>
        <w:spacing w:line="360" w:lineRule="auto"/>
        <w:ind w:firstLineChars="0"/>
        <w:rPr>
          <w:rFonts w:ascii="Times New Roman"/>
          <w:sz w:val="24"/>
          <w:szCs w:val="24"/>
        </w:rPr>
      </w:pPr>
      <w:r>
        <w:rPr>
          <w:rFonts w:ascii="Times New Roman"/>
          <w:sz w:val="24"/>
          <w:szCs w:val="24"/>
        </w:rPr>
        <w:t>点云评价素材选择和预处理方法；</w:t>
      </w:r>
    </w:p>
    <w:p w14:paraId="6DD4D5B4">
      <w:pPr>
        <w:pStyle w:val="24"/>
        <w:numPr>
          <w:ilvl w:val="0"/>
          <w:numId w:val="2"/>
        </w:numPr>
        <w:spacing w:line="360" w:lineRule="auto"/>
        <w:ind w:firstLineChars="0"/>
        <w:rPr>
          <w:rFonts w:ascii="Times New Roman"/>
          <w:sz w:val="24"/>
          <w:szCs w:val="24"/>
        </w:rPr>
      </w:pPr>
      <w:r>
        <w:rPr>
          <w:rFonts w:ascii="Times New Roman"/>
          <w:sz w:val="24"/>
          <w:szCs w:val="24"/>
        </w:rPr>
        <w:t>基于二维渲染的主观评价方法；</w:t>
      </w:r>
    </w:p>
    <w:p w14:paraId="1917502E">
      <w:pPr>
        <w:pStyle w:val="24"/>
        <w:numPr>
          <w:ilvl w:val="0"/>
          <w:numId w:val="2"/>
        </w:numPr>
        <w:spacing w:line="360" w:lineRule="auto"/>
        <w:ind w:firstLineChars="0"/>
        <w:rPr>
          <w:rFonts w:ascii="Times New Roman"/>
          <w:sz w:val="24"/>
          <w:szCs w:val="24"/>
        </w:rPr>
      </w:pPr>
      <w:r>
        <w:rPr>
          <w:rFonts w:ascii="Times New Roman"/>
          <w:sz w:val="24"/>
          <w:szCs w:val="24"/>
        </w:rPr>
        <w:t>基于6DoF VR的主观评价方法；</w:t>
      </w:r>
    </w:p>
    <w:p w14:paraId="2E6BBCDE">
      <w:pPr>
        <w:pStyle w:val="24"/>
        <w:numPr>
          <w:ilvl w:val="0"/>
          <w:numId w:val="2"/>
        </w:numPr>
        <w:spacing w:line="360" w:lineRule="auto"/>
        <w:ind w:firstLineChars="0"/>
        <w:rPr>
          <w:rFonts w:ascii="Times New Roman"/>
          <w:sz w:val="24"/>
          <w:szCs w:val="24"/>
        </w:rPr>
      </w:pPr>
      <w:r>
        <w:rPr>
          <w:rFonts w:ascii="Times New Roman"/>
          <w:sz w:val="24"/>
          <w:szCs w:val="24"/>
        </w:rPr>
        <w:t>评分方法；</w:t>
      </w:r>
    </w:p>
    <w:p w14:paraId="7639676A">
      <w:pPr>
        <w:pStyle w:val="24"/>
        <w:numPr>
          <w:ilvl w:val="0"/>
          <w:numId w:val="2"/>
        </w:numPr>
        <w:spacing w:line="360" w:lineRule="auto"/>
        <w:ind w:firstLineChars="0"/>
        <w:rPr>
          <w:rFonts w:ascii="Times New Roman"/>
          <w:sz w:val="24"/>
          <w:szCs w:val="24"/>
        </w:rPr>
      </w:pPr>
      <w:r>
        <w:rPr>
          <w:rFonts w:ascii="Times New Roman"/>
          <w:sz w:val="24"/>
          <w:szCs w:val="24"/>
        </w:rPr>
        <w:t>主观结果分析方法。</w:t>
      </w:r>
    </w:p>
    <w:p w14:paraId="13413463">
      <w:pPr>
        <w:pStyle w:val="24"/>
        <w:spacing w:line="360" w:lineRule="auto"/>
        <w:ind w:firstLine="480"/>
        <w:rPr>
          <w:rFonts w:ascii="Times New Roman"/>
          <w:sz w:val="24"/>
          <w:szCs w:val="24"/>
        </w:rPr>
      </w:pPr>
      <w:r>
        <w:rPr>
          <w:rFonts w:ascii="Times New Roman"/>
          <w:sz w:val="24"/>
          <w:szCs w:val="24"/>
        </w:rPr>
        <w:t>工作组自2020年8月第74次会议开始，讨论启动AVS标准《信息技术 高效图形数据编码 第</w:t>
      </w:r>
      <w:r>
        <w:rPr>
          <w:rFonts w:hint="eastAsia" w:ascii="Times New Roman"/>
          <w:sz w:val="24"/>
          <w:szCs w:val="24"/>
        </w:rPr>
        <w:t>3</w:t>
      </w:r>
      <w:r>
        <w:rPr>
          <w:rFonts w:ascii="Times New Roman"/>
          <w:sz w:val="24"/>
          <w:szCs w:val="24"/>
        </w:rPr>
        <w:t>部分：点云主观质量评价》的制定工作，要求支持三维点云二维观看和6DoF VR观看环境下的主观实验方法。经过多次会议对应用需求、潜在创新技术等的详细梳理，以及国际同时期点云</w:t>
      </w:r>
      <w:r>
        <w:rPr>
          <w:rFonts w:hint="eastAsia" w:ascii="Times New Roman"/>
          <w:sz w:val="24"/>
          <w:szCs w:val="24"/>
        </w:rPr>
        <w:t>主观评价</w:t>
      </w:r>
      <w:r>
        <w:rPr>
          <w:rFonts w:ascii="Times New Roman"/>
          <w:sz w:val="24"/>
          <w:szCs w:val="24"/>
        </w:rPr>
        <w:t>标准发展态势的分析，在经过多次需求分析、审议技术提案，召开了20次工作组全体会议、3次点云</w:t>
      </w:r>
      <w:r>
        <w:rPr>
          <w:rFonts w:hint="eastAsia" w:ascii="Times New Roman"/>
          <w:sz w:val="24"/>
          <w:szCs w:val="24"/>
        </w:rPr>
        <w:t>主观评价</w:t>
      </w:r>
      <w:r>
        <w:rPr>
          <w:rFonts w:ascii="Times New Roman"/>
          <w:sz w:val="24"/>
          <w:szCs w:val="24"/>
        </w:rPr>
        <w:t>组中间会议，最终形成了此次的征求意见稿，期间包括了在工作组内部的优化修订，于2025年12月份形成征求意见稿。</w:t>
      </w:r>
    </w:p>
    <w:p w14:paraId="71C181A5">
      <w:pPr>
        <w:pStyle w:val="24"/>
        <w:spacing w:line="360" w:lineRule="auto"/>
        <w:ind w:firstLine="480"/>
        <w:rPr>
          <w:rFonts w:hint="eastAsia" w:ascii="Times New Roman"/>
          <w:sz w:val="24"/>
          <w:szCs w:val="24"/>
          <w:lang w:val="en-US" w:eastAsia="zh-CN"/>
        </w:rPr>
      </w:pPr>
      <w:r>
        <w:rPr>
          <w:rFonts w:hint="eastAsia" w:ascii="Times New Roman"/>
          <w:sz w:val="24"/>
          <w:szCs w:val="24"/>
        </w:rPr>
        <w:t>本文件起草单位</w:t>
      </w:r>
      <w:r>
        <w:rPr>
          <w:rFonts w:hint="eastAsia" w:ascii="Times New Roman"/>
          <w:sz w:val="24"/>
          <w:szCs w:val="24"/>
          <w:lang w:eastAsia="zh-CN"/>
        </w:rPr>
        <w:t>：</w:t>
      </w:r>
      <w:r>
        <w:rPr>
          <w:rFonts w:hint="eastAsia" w:ascii="Times New Roman"/>
          <w:sz w:val="24"/>
          <w:szCs w:val="24"/>
        </w:rPr>
        <w:t>腾讯科技（深圳）有限公司、北京大学、鹏城实验室、中国科学院深圳先进技术研究院、上海交通大学、武汉大学、华为技术有限公司。</w:t>
      </w:r>
      <w:r>
        <w:rPr>
          <w:rFonts w:hint="eastAsia" w:ascii="Times New Roman"/>
          <w:sz w:val="24"/>
          <w:szCs w:val="24"/>
          <w:lang w:val="en-US" w:eastAsia="zh-CN"/>
        </w:rPr>
        <w:t xml:space="preserve">  </w:t>
      </w:r>
    </w:p>
    <w:p w14:paraId="59804A55">
      <w:pPr>
        <w:pStyle w:val="24"/>
        <w:spacing w:line="360" w:lineRule="auto"/>
        <w:ind w:firstLine="480"/>
        <w:rPr>
          <w:rFonts w:hint="eastAsia" w:ascii="Times New Roman" w:eastAsia="宋体"/>
          <w:sz w:val="24"/>
          <w:szCs w:val="24"/>
          <w:lang w:eastAsia="zh-CN"/>
        </w:rPr>
      </w:pPr>
      <w:r>
        <w:rPr>
          <w:rFonts w:hint="eastAsia" w:ascii="Times New Roman"/>
          <w:sz w:val="24"/>
          <w:szCs w:val="24"/>
        </w:rPr>
        <w:t>本文件主要起草人：杨琦、王海强、许晓中、刘杉、高伟、李革、范松林、高文旭、汪继龙、李鼎权、张云、徐异凌、刘逸鹏、张钰杰、杨开发、单子雨、陈震中、朱晗、赵寅</w:t>
      </w:r>
      <w:r>
        <w:rPr>
          <w:rFonts w:hint="eastAsia" w:ascii="Times New Roman"/>
          <w:sz w:val="24"/>
          <w:szCs w:val="24"/>
          <w:lang w:eastAsia="zh-CN"/>
        </w:rPr>
        <w:t>。</w:t>
      </w:r>
    </w:p>
    <w:p w14:paraId="47837C93">
      <w:pPr>
        <w:pStyle w:val="24"/>
        <w:spacing w:line="360" w:lineRule="auto"/>
        <w:ind w:firstLine="480"/>
        <w:rPr>
          <w:rFonts w:ascii="Times New Roman"/>
          <w:sz w:val="24"/>
          <w:szCs w:val="24"/>
        </w:rPr>
      </w:pPr>
      <w:r>
        <w:rPr>
          <w:rFonts w:hint="eastAsia" w:ascii="Times New Roman"/>
          <w:sz w:val="24"/>
          <w:szCs w:val="24"/>
        </w:rPr>
        <w:t>其中，</w:t>
      </w:r>
      <w:r>
        <w:rPr>
          <w:rFonts w:ascii="Times New Roman"/>
          <w:sz w:val="24"/>
          <w:szCs w:val="24"/>
        </w:rPr>
        <w:t>腾讯科技（深圳）有限公司牵头标准制定并提出技术提案，</w:t>
      </w:r>
      <w:r>
        <w:rPr>
          <w:rFonts w:hint="eastAsia" w:ascii="Times New Roman"/>
          <w:sz w:val="24"/>
          <w:szCs w:val="24"/>
        </w:rPr>
        <w:t>北京大学、鹏城实验室、中国科学院深圳先进技术研究院、上海交通大学、武汉大学、华为技术有限公司</w:t>
      </w:r>
      <w:r>
        <w:rPr>
          <w:rFonts w:ascii="Times New Roman"/>
          <w:sz w:val="24"/>
          <w:szCs w:val="24"/>
        </w:rPr>
        <w:t>等提出了技术提案，或参与了标准技术提案审议、编制和验证工作，新一代人工智能产业技术创新战略联盟/中关村视听产业技术创新联盟主要负责标准技术讨论会议组织、编制和标准流程管理。</w:t>
      </w:r>
    </w:p>
    <w:p w14:paraId="63B07582">
      <w:pPr>
        <w:pStyle w:val="24"/>
        <w:spacing w:line="360" w:lineRule="auto"/>
        <w:ind w:firstLine="482"/>
        <w:rPr>
          <w:rFonts w:ascii="Times New Roman"/>
          <w:b/>
          <w:color w:val="000000"/>
          <w:sz w:val="24"/>
          <w:szCs w:val="24"/>
        </w:rPr>
      </w:pPr>
      <w:r>
        <w:rPr>
          <w:rFonts w:ascii="Times New Roman"/>
          <w:b/>
          <w:sz w:val="24"/>
          <w:szCs w:val="24"/>
        </w:rPr>
        <w:t>二、</w:t>
      </w:r>
      <w:r>
        <w:rPr>
          <w:rFonts w:ascii="Times New Roman"/>
          <w:b/>
          <w:color w:val="000000"/>
          <w:sz w:val="24"/>
          <w:szCs w:val="24"/>
        </w:rPr>
        <w:t>编制原则、确定内容的论据及标准主要内容</w:t>
      </w:r>
    </w:p>
    <w:p w14:paraId="0398EFC5">
      <w:pPr>
        <w:pStyle w:val="24"/>
        <w:spacing w:line="360" w:lineRule="auto"/>
        <w:ind w:firstLine="480"/>
        <w:rPr>
          <w:rFonts w:ascii="Times New Roman"/>
          <w:color w:val="000000"/>
          <w:sz w:val="24"/>
          <w:szCs w:val="24"/>
        </w:rPr>
      </w:pPr>
      <w:r>
        <w:rPr>
          <w:rFonts w:ascii="Times New Roman"/>
          <w:color w:val="000000"/>
          <w:sz w:val="24"/>
          <w:szCs w:val="24"/>
        </w:rPr>
        <w:t>1.编制原则</w:t>
      </w:r>
    </w:p>
    <w:p w14:paraId="1D330F7E">
      <w:pPr>
        <w:pStyle w:val="24"/>
        <w:spacing w:line="360" w:lineRule="auto"/>
        <w:ind w:firstLine="480"/>
        <w:rPr>
          <w:rFonts w:ascii="Times New Roman"/>
          <w:color w:val="000000"/>
          <w:sz w:val="24"/>
          <w:szCs w:val="24"/>
        </w:rPr>
      </w:pPr>
      <w:r>
        <w:rPr>
          <w:rFonts w:ascii="Times New Roman"/>
          <w:color w:val="000000"/>
          <w:sz w:val="24"/>
          <w:szCs w:val="24"/>
        </w:rPr>
        <w:t>本标准编制的原则包括：</w:t>
      </w:r>
    </w:p>
    <w:p w14:paraId="4AE60DB8">
      <w:pPr>
        <w:pStyle w:val="24"/>
        <w:numPr>
          <w:ilvl w:val="0"/>
          <w:numId w:val="2"/>
        </w:numPr>
        <w:spacing w:line="360" w:lineRule="auto"/>
        <w:ind w:firstLineChars="0"/>
        <w:rPr>
          <w:rFonts w:ascii="Times New Roman"/>
          <w:color w:val="000000"/>
          <w:sz w:val="24"/>
          <w:szCs w:val="24"/>
        </w:rPr>
      </w:pPr>
      <w:r>
        <w:rPr>
          <w:rFonts w:ascii="Times New Roman"/>
          <w:color w:val="000000"/>
          <w:sz w:val="24"/>
          <w:szCs w:val="24"/>
        </w:rPr>
        <w:t>本标准应符合国家相关标准的要求。</w:t>
      </w:r>
    </w:p>
    <w:p w14:paraId="76A9277A">
      <w:pPr>
        <w:pStyle w:val="24"/>
        <w:numPr>
          <w:ilvl w:val="0"/>
          <w:numId w:val="2"/>
        </w:numPr>
        <w:spacing w:line="360" w:lineRule="auto"/>
        <w:ind w:firstLineChars="0"/>
        <w:rPr>
          <w:rFonts w:ascii="Times New Roman"/>
          <w:color w:val="000000"/>
          <w:sz w:val="24"/>
          <w:szCs w:val="24"/>
        </w:rPr>
      </w:pPr>
      <w:r>
        <w:rPr>
          <w:rFonts w:ascii="Times New Roman"/>
          <w:color w:val="000000"/>
          <w:sz w:val="24"/>
          <w:szCs w:val="24"/>
        </w:rPr>
        <w:t>本标准的编制符合《GB/T 1.1-2020标准化工作导则 第1部分：标准化文件的结构和起草规则》的规定。</w:t>
      </w:r>
    </w:p>
    <w:p w14:paraId="525C7924">
      <w:pPr>
        <w:pStyle w:val="24"/>
        <w:numPr>
          <w:ilvl w:val="0"/>
          <w:numId w:val="2"/>
        </w:numPr>
        <w:spacing w:line="360" w:lineRule="auto"/>
        <w:ind w:firstLineChars="0"/>
        <w:rPr>
          <w:rFonts w:ascii="Times New Roman"/>
          <w:color w:val="000000"/>
          <w:sz w:val="24"/>
          <w:szCs w:val="24"/>
        </w:rPr>
      </w:pPr>
      <w:r>
        <w:rPr>
          <w:rFonts w:ascii="Times New Roman"/>
          <w:color w:val="000000"/>
          <w:sz w:val="24"/>
          <w:szCs w:val="24"/>
        </w:rPr>
        <w:t>本标准的技术内容具有先进性、科学性和合理性。</w:t>
      </w:r>
    </w:p>
    <w:p w14:paraId="40A043A7">
      <w:pPr>
        <w:pStyle w:val="24"/>
        <w:spacing w:line="360" w:lineRule="auto"/>
        <w:ind w:firstLine="480"/>
        <w:rPr>
          <w:rFonts w:ascii="Times New Roman"/>
          <w:color w:val="000000"/>
          <w:sz w:val="24"/>
          <w:szCs w:val="24"/>
        </w:rPr>
      </w:pPr>
      <w:r>
        <w:rPr>
          <w:rFonts w:ascii="Times New Roman"/>
          <w:color w:val="000000"/>
          <w:sz w:val="24"/>
          <w:szCs w:val="24"/>
        </w:rPr>
        <w:t>2.确定内容的论据</w:t>
      </w:r>
    </w:p>
    <w:p w14:paraId="5F5034E2">
      <w:pPr>
        <w:pStyle w:val="24"/>
        <w:spacing w:line="360" w:lineRule="auto"/>
        <w:ind w:firstLine="480"/>
        <w:rPr>
          <w:rFonts w:ascii="Times New Roman"/>
          <w:color w:val="000000"/>
          <w:sz w:val="24"/>
          <w:szCs w:val="24"/>
        </w:rPr>
      </w:pPr>
      <w:r>
        <w:rPr>
          <w:rFonts w:ascii="Times New Roman"/>
          <w:color w:val="000000"/>
          <w:sz w:val="24"/>
          <w:szCs w:val="24"/>
        </w:rPr>
        <w:t>AVS点云主观质量评价标准的制定是为了满足多种三维视觉应用中对真实感重建与感知一致性评估的需求。这些应用包括自主导航系统、实时巡检系统、地理信息系统、数字文化遗产保护、自由视点广播、三维沉浸式通信与交互、以及智能制造与医疗可视化等。该标准的目标是建立科学、系统且</w:t>
      </w:r>
      <w:r>
        <w:rPr>
          <w:rFonts w:hint="eastAsia" w:ascii="Times New Roman"/>
          <w:color w:val="000000"/>
          <w:sz w:val="24"/>
          <w:szCs w:val="24"/>
        </w:rPr>
        <w:t>稳定可靠</w:t>
      </w:r>
      <w:r>
        <w:rPr>
          <w:rFonts w:ascii="Times New Roman"/>
          <w:color w:val="000000"/>
          <w:sz w:val="24"/>
          <w:szCs w:val="24"/>
        </w:rPr>
        <w:t>的点云主观质量评价体系，在充分反映人类视觉感知特性的基础上，为点云编码、传输及渲染提供统一的感知质量评估依据，从而在保证主观质量一致性的同时，为客观评价模型和压缩优化提供标杆，推动点云技术在实际场景中的落地与标准化发展。</w:t>
      </w:r>
    </w:p>
    <w:p w14:paraId="2309AC6D">
      <w:pPr>
        <w:pStyle w:val="24"/>
        <w:spacing w:line="360" w:lineRule="auto"/>
        <w:ind w:firstLine="480"/>
        <w:rPr>
          <w:rFonts w:ascii="Times New Roman"/>
          <w:color w:val="000000"/>
          <w:sz w:val="24"/>
          <w:szCs w:val="24"/>
        </w:rPr>
      </w:pPr>
      <w:r>
        <w:rPr>
          <w:rFonts w:ascii="Times New Roman"/>
          <w:color w:val="000000"/>
          <w:sz w:val="24"/>
          <w:szCs w:val="24"/>
        </w:rPr>
        <w:t>本标准是以我国科研机构和重点企业为首、引领全国信息技术领域有影响力企业共同集体创新而成。为了形成优化的技术方案，工作组质量评价专题组根据标准的实际应用设定了详细的评估条件和测试方法，收集了反映各种典型情况的测试环境与方法，技术评估的基本依据是综合考虑提案对评价可靠性的贡献、实现复杂度和知识产权情况，这些原则与方法为AVS点云主观质量评价标准的技术先进性和妥善解决知识产权问题奠定了坚实基础。</w:t>
      </w:r>
    </w:p>
    <w:p w14:paraId="4528A1C5">
      <w:pPr>
        <w:pStyle w:val="24"/>
        <w:spacing w:line="360" w:lineRule="auto"/>
        <w:ind w:firstLine="480"/>
        <w:rPr>
          <w:rFonts w:ascii="Times New Roman"/>
          <w:color w:val="000000"/>
          <w:sz w:val="24"/>
          <w:szCs w:val="24"/>
        </w:rPr>
      </w:pPr>
      <w:r>
        <w:rPr>
          <w:rFonts w:ascii="Times New Roman"/>
          <w:color w:val="000000"/>
          <w:sz w:val="24"/>
          <w:szCs w:val="24"/>
        </w:rPr>
        <w:t>3.AVS点云主观质量评价的主要内容</w:t>
      </w:r>
    </w:p>
    <w:p w14:paraId="42D2EA0B">
      <w:pPr>
        <w:pStyle w:val="24"/>
        <w:spacing w:line="360" w:lineRule="auto"/>
        <w:ind w:firstLine="480"/>
        <w:rPr>
          <w:rFonts w:ascii="Times New Roman"/>
          <w:color w:val="000000"/>
          <w:sz w:val="24"/>
          <w:szCs w:val="24"/>
        </w:rPr>
      </w:pPr>
      <w:r>
        <w:rPr>
          <w:rFonts w:ascii="Times New Roman"/>
          <w:color w:val="000000"/>
          <w:sz w:val="24"/>
          <w:szCs w:val="24"/>
        </w:rPr>
        <w:t>AVS点云主观质量考虑了两种不同的评价环境，即基于二维视频渲染的评价环境和基于6DoF VR的评价环境，同时包含测试样本选取规范和主观分数处理方法。AVS点云主观质量的主要特色技术包括：</w:t>
      </w:r>
    </w:p>
    <w:p w14:paraId="30697BEB">
      <w:pPr>
        <w:pStyle w:val="24"/>
        <w:numPr>
          <w:ilvl w:val="0"/>
          <w:numId w:val="3"/>
        </w:numPr>
        <w:spacing w:line="360" w:lineRule="auto"/>
        <w:ind w:firstLineChars="0"/>
        <w:rPr>
          <w:rFonts w:ascii="Times New Roman"/>
          <w:b/>
          <w:color w:val="000000"/>
          <w:sz w:val="24"/>
          <w:szCs w:val="24"/>
        </w:rPr>
      </w:pPr>
      <w:r>
        <w:rPr>
          <w:rFonts w:ascii="Times New Roman"/>
          <w:b/>
          <w:color w:val="000000"/>
          <w:sz w:val="24"/>
          <w:szCs w:val="24"/>
        </w:rPr>
        <w:t>三维点云主观实验测试素材选择与预处理</w:t>
      </w:r>
    </w:p>
    <w:p w14:paraId="59C3AAA1">
      <w:pPr>
        <w:pStyle w:val="24"/>
        <w:spacing w:line="360" w:lineRule="auto"/>
        <w:ind w:firstLine="480"/>
        <w:rPr>
          <w:rFonts w:ascii="Times New Roman"/>
          <w:color w:val="000000"/>
          <w:sz w:val="24"/>
          <w:szCs w:val="24"/>
        </w:rPr>
      </w:pPr>
      <w:r>
        <w:rPr>
          <w:rFonts w:ascii="Times New Roman"/>
          <w:color w:val="000000"/>
          <w:sz w:val="24"/>
          <w:szCs w:val="24"/>
        </w:rPr>
        <w:t>参考点云的选取应保证多元性，以反映真实应用中点云的属性分布。所考虑的因素需包括内容类型、点密度、几何特征复杂度和属性特征复杂度等方面。以下关于参考点云属性的相关定义仅针对主观质量评价中的参考点云：</w:t>
      </w:r>
    </w:p>
    <w:p w14:paraId="4275CE89">
      <w:pPr>
        <w:pStyle w:val="24"/>
        <w:spacing w:line="360" w:lineRule="auto"/>
        <w:ind w:firstLine="480"/>
        <w:rPr>
          <w:rFonts w:ascii="Times New Roman"/>
          <w:color w:val="000000"/>
          <w:sz w:val="24"/>
          <w:szCs w:val="24"/>
        </w:rPr>
      </w:pPr>
      <w:r>
        <w:rPr>
          <w:rFonts w:ascii="Times New Roman"/>
          <w:color w:val="000000"/>
          <w:sz w:val="24"/>
          <w:szCs w:val="24"/>
        </w:rPr>
        <w:t>1. 内容类型：参考点云内容宜尽可能包含不同类型对象，如人体内容、动植物内容和无生命体内容；</w:t>
      </w:r>
    </w:p>
    <w:p w14:paraId="3C8134C3">
      <w:pPr>
        <w:pStyle w:val="24"/>
        <w:spacing w:line="360" w:lineRule="auto"/>
        <w:ind w:firstLine="480"/>
        <w:rPr>
          <w:rFonts w:ascii="Times New Roman"/>
          <w:color w:val="000000"/>
          <w:sz w:val="24"/>
          <w:szCs w:val="24"/>
        </w:rPr>
      </w:pPr>
      <w:r>
        <w:rPr>
          <w:rFonts w:ascii="Times New Roman"/>
          <w:color w:val="000000"/>
          <w:sz w:val="24"/>
          <w:szCs w:val="24"/>
        </w:rPr>
        <w:t>2. 点密度：参考点云应该在对应物理显示设备呈现时充分展示其视觉属性。可根据原始点云密度和显示设备物理分辨率进行双向选择。若已知点云密度，应该使得该点云在所选物理设备上呈现时,在点云样本不引入额外缩放的前提下没有孔洞存在且没有点重叠存在，在实际操作中建议的密度计算方法如下：</w:t>
      </w:r>
    </w:p>
    <w:p w14:paraId="43D1F242">
      <w:pPr>
        <w:pStyle w:val="24"/>
        <w:spacing w:line="360" w:lineRule="auto"/>
        <w:ind w:firstLine="480"/>
        <w:rPr>
          <w:rFonts w:ascii="Times New Roman"/>
          <w:color w:val="000000"/>
          <w:sz w:val="24"/>
          <w:szCs w:val="24"/>
        </w:rPr>
      </w:pPr>
      <w:r>
        <w:rPr>
          <w:rFonts w:ascii="Times New Roman"/>
          <w:color w:val="000000"/>
          <w:sz w:val="24"/>
          <w:szCs w:val="24"/>
        </w:rPr>
        <w:t>在点云上随机选择部分点，计算每个点在半径为R球邻域内的邻居点数量，R取点云边界框对角线长度的1%，通过直方图确定点数目最多的密度区域，计算此区域点的邻居点数量平均值来表示点云整体密度水平（排除少量点对整体密度的干扰），定义单位为点/邻域。点云密度及建议显示设备物理分辨率存在以下对应关系：</w:t>
      </w:r>
    </w:p>
    <w:tbl>
      <w:tblPr>
        <w:tblStyle w:val="12"/>
        <w:tblW w:w="0" w:type="auto"/>
        <w:jc w:val="center"/>
        <w:tblLayout w:type="fixed"/>
        <w:tblCellMar>
          <w:top w:w="15" w:type="dxa"/>
          <w:left w:w="15" w:type="dxa"/>
          <w:bottom w:w="15" w:type="dxa"/>
          <w:right w:w="15" w:type="dxa"/>
        </w:tblCellMar>
      </w:tblPr>
      <w:tblGrid>
        <w:gridCol w:w="1977"/>
        <w:gridCol w:w="1977"/>
        <w:gridCol w:w="1977"/>
        <w:gridCol w:w="1977"/>
      </w:tblGrid>
      <w:tr w14:paraId="0097B09D">
        <w:tblPrEx>
          <w:tblCellMar>
            <w:top w:w="15" w:type="dxa"/>
            <w:left w:w="15" w:type="dxa"/>
            <w:bottom w:w="15" w:type="dxa"/>
            <w:right w:w="15" w:type="dxa"/>
          </w:tblCellMar>
        </w:tblPrEx>
        <w:trPr>
          <w:trHeight w:val="246" w:hRule="atLeast"/>
          <w:jc w:val="center"/>
        </w:trPr>
        <w:tc>
          <w:tcPr>
            <w:tcW w:w="1977"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6847AA83">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密度（点/邻域）</w:t>
            </w:r>
          </w:p>
        </w:tc>
        <w:tc>
          <w:tcPr>
            <w:tcW w:w="1977"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206549F2">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1200</w:t>
            </w:r>
          </w:p>
        </w:tc>
        <w:tc>
          <w:tcPr>
            <w:tcW w:w="1977"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68D28108">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1500</w:t>
            </w:r>
          </w:p>
        </w:tc>
        <w:tc>
          <w:tcPr>
            <w:tcW w:w="1977"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6EAD11FB">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2400</w:t>
            </w:r>
          </w:p>
        </w:tc>
      </w:tr>
      <w:tr w14:paraId="3A193F7C">
        <w:tblPrEx>
          <w:tblCellMar>
            <w:top w:w="15" w:type="dxa"/>
            <w:left w:w="15" w:type="dxa"/>
            <w:bottom w:w="15" w:type="dxa"/>
            <w:right w:w="15" w:type="dxa"/>
          </w:tblCellMar>
        </w:tblPrEx>
        <w:trPr>
          <w:trHeight w:val="246" w:hRule="atLeast"/>
          <w:jc w:val="center"/>
        </w:trPr>
        <w:tc>
          <w:tcPr>
            <w:tcW w:w="1977"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565F3633">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建议显示分辨率</w:t>
            </w:r>
          </w:p>
        </w:tc>
        <w:tc>
          <w:tcPr>
            <w:tcW w:w="1977" w:type="dxa"/>
            <w:tcBorders>
              <w:top w:val="single" w:color="CBCDD1"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1DAF2117">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1920*1080及以下</w:t>
            </w:r>
          </w:p>
        </w:tc>
        <w:tc>
          <w:tcPr>
            <w:tcW w:w="1977" w:type="dxa"/>
            <w:tcBorders>
              <w:top w:val="single" w:color="CBCDD1"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62953723">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2560*1440及以下</w:t>
            </w:r>
          </w:p>
        </w:tc>
        <w:tc>
          <w:tcPr>
            <w:tcW w:w="1977" w:type="dxa"/>
            <w:tcBorders>
              <w:top w:val="single" w:color="CBCDD1"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11711402">
            <w:pPr>
              <w:pStyle w:val="33"/>
              <w:spacing w:before="60" w:beforeAutospacing="0" w:after="60" w:afterAutospacing="0" w:line="312"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3840*2160及以下</w:t>
            </w:r>
          </w:p>
        </w:tc>
      </w:tr>
    </w:tbl>
    <w:p w14:paraId="75A538B5">
      <w:pPr>
        <w:pStyle w:val="24"/>
        <w:spacing w:line="360" w:lineRule="auto"/>
        <w:ind w:firstLine="480"/>
        <w:rPr>
          <w:rFonts w:ascii="Times New Roman"/>
          <w:color w:val="000000"/>
          <w:sz w:val="24"/>
          <w:szCs w:val="24"/>
        </w:rPr>
      </w:pPr>
      <w:r>
        <w:rPr>
          <w:rFonts w:ascii="Times New Roman"/>
          <w:color w:val="000000"/>
          <w:sz w:val="24"/>
          <w:szCs w:val="24"/>
        </w:rPr>
        <w:tab/>
      </w:r>
      <w:r>
        <w:rPr>
          <w:rFonts w:ascii="Times New Roman"/>
          <w:color w:val="000000"/>
          <w:sz w:val="24"/>
          <w:szCs w:val="24"/>
        </w:rPr>
        <w:t>对于色彩较浅或形状较复杂的物体，选择显示设备物理分辨率时建议以上述二倍密度为指标：</w:t>
      </w:r>
    </w:p>
    <w:tbl>
      <w:tblPr>
        <w:tblStyle w:val="12"/>
        <w:tblW w:w="0" w:type="auto"/>
        <w:jc w:val="center"/>
        <w:tblLayout w:type="fixed"/>
        <w:tblCellMar>
          <w:top w:w="15" w:type="dxa"/>
          <w:left w:w="15" w:type="dxa"/>
          <w:bottom w:w="15" w:type="dxa"/>
          <w:right w:w="15" w:type="dxa"/>
        </w:tblCellMar>
      </w:tblPr>
      <w:tblGrid>
        <w:gridCol w:w="2022"/>
        <w:gridCol w:w="2022"/>
        <w:gridCol w:w="2022"/>
        <w:gridCol w:w="2022"/>
      </w:tblGrid>
      <w:tr w14:paraId="749DA797">
        <w:tblPrEx>
          <w:tblCellMar>
            <w:top w:w="15" w:type="dxa"/>
            <w:left w:w="15" w:type="dxa"/>
            <w:bottom w:w="15" w:type="dxa"/>
            <w:right w:w="15" w:type="dxa"/>
          </w:tblCellMar>
        </w:tblPrEx>
        <w:trPr>
          <w:trHeight w:val="280" w:hRule="atLeast"/>
          <w:jc w:val="center"/>
        </w:trPr>
        <w:tc>
          <w:tcPr>
            <w:tcW w:w="2022"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5E7D6E97">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密度（点/邻域）</w:t>
            </w:r>
          </w:p>
        </w:tc>
        <w:tc>
          <w:tcPr>
            <w:tcW w:w="2022"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0D0873D8">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2400</w:t>
            </w:r>
          </w:p>
        </w:tc>
        <w:tc>
          <w:tcPr>
            <w:tcW w:w="2022"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1850E8E8">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3000</w:t>
            </w:r>
          </w:p>
        </w:tc>
        <w:tc>
          <w:tcPr>
            <w:tcW w:w="2022"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7303D209">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4800</w:t>
            </w:r>
          </w:p>
        </w:tc>
      </w:tr>
      <w:tr w14:paraId="7DDBD814">
        <w:tblPrEx>
          <w:tblCellMar>
            <w:top w:w="15" w:type="dxa"/>
            <w:left w:w="15" w:type="dxa"/>
            <w:bottom w:w="15" w:type="dxa"/>
            <w:right w:w="15" w:type="dxa"/>
          </w:tblCellMar>
        </w:tblPrEx>
        <w:trPr>
          <w:trHeight w:val="280" w:hRule="atLeast"/>
          <w:jc w:val="center"/>
        </w:trPr>
        <w:tc>
          <w:tcPr>
            <w:tcW w:w="2022" w:type="dxa"/>
            <w:tcBorders>
              <w:top w:val="single" w:color="999999"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5F334384">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建议显示分辨率</w:t>
            </w:r>
          </w:p>
        </w:tc>
        <w:tc>
          <w:tcPr>
            <w:tcW w:w="2022" w:type="dxa"/>
            <w:tcBorders>
              <w:top w:val="single" w:color="CBCDD1"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4CB1FBF0">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1920*1080及以下</w:t>
            </w:r>
          </w:p>
        </w:tc>
        <w:tc>
          <w:tcPr>
            <w:tcW w:w="2022" w:type="dxa"/>
            <w:tcBorders>
              <w:top w:val="single" w:color="CBCDD1"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631B0FFC">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2560*1440及以下</w:t>
            </w:r>
          </w:p>
        </w:tc>
        <w:tc>
          <w:tcPr>
            <w:tcW w:w="2022" w:type="dxa"/>
            <w:tcBorders>
              <w:top w:val="single" w:color="CBCDD1" w:sz="6" w:space="0"/>
              <w:left w:val="single" w:color="999999" w:sz="6" w:space="0"/>
              <w:bottom w:val="single" w:color="999999" w:sz="6" w:space="0"/>
              <w:right w:val="single" w:color="999999" w:sz="6" w:space="0"/>
            </w:tcBorders>
            <w:tcMar>
              <w:top w:w="60" w:type="dxa"/>
              <w:left w:w="60" w:type="dxa"/>
              <w:bottom w:w="45" w:type="dxa"/>
              <w:right w:w="60" w:type="dxa"/>
            </w:tcMar>
            <w:vAlign w:val="center"/>
          </w:tcPr>
          <w:p w14:paraId="204122AC">
            <w:pPr>
              <w:pStyle w:val="33"/>
              <w:spacing w:before="60" w:beforeAutospacing="0" w:after="60" w:afterAutospacing="0" w:line="312" w:lineRule="auto"/>
              <w:jc w:val="center"/>
              <w:rPr>
                <w:rFonts w:ascii="Times New Roman" w:hAnsi="Times New Roman" w:cs="Times New Roman"/>
                <w:color w:val="000000"/>
              </w:rPr>
            </w:pPr>
            <w:r>
              <w:rPr>
                <w:rFonts w:ascii="Times New Roman" w:hAnsi="Times New Roman" w:cs="Times New Roman"/>
                <w:color w:val="000000"/>
              </w:rPr>
              <w:t>3840*2160及以下</w:t>
            </w:r>
          </w:p>
        </w:tc>
      </w:tr>
    </w:tbl>
    <w:p w14:paraId="75FD6EEC">
      <w:pPr>
        <w:pStyle w:val="24"/>
        <w:spacing w:line="360" w:lineRule="auto"/>
        <w:ind w:firstLine="480"/>
        <w:rPr>
          <w:rFonts w:ascii="Times New Roman"/>
          <w:color w:val="000000"/>
          <w:sz w:val="24"/>
          <w:szCs w:val="24"/>
        </w:rPr>
      </w:pPr>
      <w:r>
        <w:rPr>
          <w:rFonts w:ascii="Times New Roman"/>
          <w:color w:val="000000"/>
          <w:sz w:val="24"/>
          <w:szCs w:val="24"/>
        </w:rPr>
        <w:tab/>
      </w:r>
      <w:r>
        <w:rPr>
          <w:rFonts w:ascii="Times New Roman"/>
          <w:color w:val="000000"/>
          <w:sz w:val="24"/>
          <w:szCs w:val="24"/>
        </w:rPr>
        <w:t>对于不在表格中的建议显示分辨率，可以以1920*1080分辨率为基准计算得到，建议显示分辨率（A*B）对应的点云密度为1200(或2400)*A/1920，或1200(或2400)*B/1080。</w:t>
      </w:r>
    </w:p>
    <w:p w14:paraId="16955716">
      <w:pPr>
        <w:pStyle w:val="24"/>
        <w:spacing w:line="360" w:lineRule="auto"/>
        <w:ind w:firstLine="480"/>
        <w:rPr>
          <w:rFonts w:ascii="Times New Roman"/>
          <w:color w:val="000000"/>
          <w:sz w:val="24"/>
          <w:szCs w:val="24"/>
        </w:rPr>
      </w:pPr>
      <w:r>
        <w:rPr>
          <w:rFonts w:ascii="Times New Roman"/>
          <w:color w:val="000000"/>
          <w:sz w:val="24"/>
          <w:szCs w:val="24"/>
        </w:rPr>
        <w:t>若已知物理设备分辨率参数，应根据其分辨率决定原始点云位宽，使得在点云压缩和渲染阶段在不引入额外缩放的前提下，点云样本可以以固有分辨率显示在物理设备上，具体包含以下两种情况：</w:t>
      </w:r>
    </w:p>
    <w:p w14:paraId="7A3AAA80">
      <w:pPr>
        <w:pStyle w:val="24"/>
        <w:spacing w:line="360" w:lineRule="auto"/>
        <w:ind w:firstLine="480"/>
        <w:rPr>
          <w:rFonts w:ascii="Times New Roman"/>
          <w:color w:val="000000"/>
          <w:sz w:val="24"/>
          <w:szCs w:val="24"/>
        </w:rPr>
      </w:pPr>
      <w:r>
        <w:rPr>
          <w:rFonts w:ascii="Times New Roman"/>
          <w:color w:val="000000"/>
          <w:sz w:val="24"/>
          <w:szCs w:val="24"/>
        </w:rPr>
        <w:t>1）</w:t>
      </w:r>
      <w:r>
        <w:rPr>
          <w:rFonts w:ascii="Times New Roman"/>
          <w:color w:val="000000"/>
          <w:sz w:val="24"/>
          <w:szCs w:val="24"/>
        </w:rPr>
        <w:tab/>
      </w:r>
      <w:r>
        <w:rPr>
          <w:rFonts w:ascii="Times New Roman"/>
          <w:color w:val="000000"/>
          <w:sz w:val="24"/>
          <w:szCs w:val="24"/>
        </w:rPr>
        <w:t>如果点云样本的分辨率小于当前物理设备分辨率，且点云样本的尺寸最大动态范围小于当前物理设备分辨率，宜保留点云原始位宽进行显示；</w:t>
      </w:r>
    </w:p>
    <w:p w14:paraId="37ABE397">
      <w:pPr>
        <w:pStyle w:val="24"/>
        <w:spacing w:line="360" w:lineRule="auto"/>
        <w:ind w:firstLine="480"/>
        <w:rPr>
          <w:rFonts w:ascii="Times New Roman"/>
          <w:color w:val="000000"/>
          <w:sz w:val="24"/>
          <w:szCs w:val="24"/>
        </w:rPr>
      </w:pPr>
      <w:r>
        <w:rPr>
          <w:rFonts w:ascii="Times New Roman"/>
          <w:color w:val="000000"/>
          <w:sz w:val="24"/>
          <w:szCs w:val="24"/>
        </w:rPr>
        <w:t>2）</w:t>
      </w:r>
      <w:r>
        <w:rPr>
          <w:rFonts w:ascii="Times New Roman"/>
          <w:color w:val="000000"/>
          <w:sz w:val="24"/>
          <w:szCs w:val="24"/>
        </w:rPr>
        <w:tab/>
      </w:r>
      <w:r>
        <w:rPr>
          <w:rFonts w:ascii="Times New Roman"/>
          <w:color w:val="000000"/>
          <w:sz w:val="24"/>
          <w:szCs w:val="24"/>
        </w:rPr>
        <w:t>如后续主观实验使用基于二维视频渲染的主观质量评价方法，且计划在物理设备左右并排显示两个点云渲染视频，要求点云样本尺寸最大宽度动态范围小于当前物理设备分辨率宽度尺寸的一半，点云样本尺寸最大高度动态范围小于当前物理设备分辨率高度尺寸；</w:t>
      </w:r>
    </w:p>
    <w:p w14:paraId="5846F1B1">
      <w:pPr>
        <w:pStyle w:val="24"/>
        <w:spacing w:line="360" w:lineRule="auto"/>
        <w:ind w:firstLine="480"/>
        <w:rPr>
          <w:rFonts w:ascii="Times New Roman"/>
          <w:color w:val="000000"/>
          <w:sz w:val="24"/>
          <w:szCs w:val="24"/>
        </w:rPr>
      </w:pPr>
      <w:r>
        <w:rPr>
          <w:rFonts w:ascii="Times New Roman"/>
          <w:color w:val="000000"/>
          <w:sz w:val="24"/>
          <w:szCs w:val="24"/>
        </w:rPr>
        <w:t>3）</w:t>
      </w:r>
      <w:r>
        <w:rPr>
          <w:rFonts w:ascii="Times New Roman"/>
          <w:color w:val="000000"/>
          <w:sz w:val="24"/>
          <w:szCs w:val="24"/>
        </w:rPr>
        <w:tab/>
      </w:r>
      <w:r>
        <w:rPr>
          <w:rFonts w:ascii="Times New Roman"/>
          <w:color w:val="000000"/>
          <w:sz w:val="24"/>
          <w:szCs w:val="24"/>
        </w:rPr>
        <w:t>如果只在主观实验中衡量点云压缩技术对质量的影响，宜在物理显示设备中呈现点云样本原始分辨率，即物理设备分辨率应大于点云样本分辨率；</w:t>
      </w:r>
    </w:p>
    <w:p w14:paraId="34B30B56">
      <w:pPr>
        <w:pStyle w:val="24"/>
        <w:spacing w:line="360" w:lineRule="auto"/>
        <w:ind w:firstLine="480"/>
        <w:rPr>
          <w:rFonts w:ascii="Times New Roman"/>
          <w:color w:val="000000"/>
          <w:sz w:val="24"/>
          <w:szCs w:val="24"/>
        </w:rPr>
      </w:pPr>
      <w:r>
        <w:rPr>
          <w:rFonts w:ascii="Times New Roman"/>
          <w:color w:val="000000"/>
          <w:sz w:val="24"/>
          <w:szCs w:val="24"/>
        </w:rPr>
        <w:t>4）</w:t>
      </w:r>
      <w:r>
        <w:rPr>
          <w:rFonts w:ascii="Times New Roman"/>
          <w:color w:val="000000"/>
          <w:sz w:val="24"/>
          <w:szCs w:val="24"/>
        </w:rPr>
        <w:tab/>
      </w:r>
      <w:r>
        <w:rPr>
          <w:rFonts w:ascii="Times New Roman"/>
          <w:color w:val="000000"/>
          <w:sz w:val="24"/>
          <w:szCs w:val="24"/>
        </w:rPr>
        <w:t>如果在主观实验中同时衡量点云压缩技术和尺寸缩放对质量的影响，宜对相同位宽且选择相同缩放因子后的点云样本进行质量测试与比较，不宜对不同缩放因子的点云样本进行质量测试与比较。同时宜明确样本缩放产生的位置（如生产、压缩和渲染），辅助分析不同环节缩放操作叠加对最终质量产生的影响。</w:t>
      </w:r>
    </w:p>
    <w:p w14:paraId="53C6BBA1">
      <w:pPr>
        <w:pStyle w:val="24"/>
        <w:spacing w:line="360" w:lineRule="auto"/>
        <w:ind w:firstLine="480"/>
        <w:rPr>
          <w:rFonts w:ascii="Times New Roman"/>
          <w:color w:val="000000"/>
          <w:sz w:val="24"/>
          <w:szCs w:val="24"/>
        </w:rPr>
      </w:pPr>
      <w:r>
        <w:rPr>
          <w:rFonts w:ascii="Times New Roman"/>
          <w:color w:val="000000"/>
          <w:sz w:val="24"/>
          <w:szCs w:val="24"/>
        </w:rPr>
        <w:t>3. 几何特征复杂度</w:t>
      </w:r>
    </w:p>
    <w:p w14:paraId="0A190415">
      <w:pPr>
        <w:pStyle w:val="24"/>
        <w:spacing w:line="360" w:lineRule="auto"/>
        <w:ind w:firstLineChars="0"/>
        <w:rPr>
          <w:rFonts w:ascii="Times New Roman"/>
          <w:color w:val="000000"/>
          <w:sz w:val="24"/>
          <w:szCs w:val="24"/>
        </w:rPr>
      </w:pPr>
      <w:r>
        <w:rPr>
          <w:rFonts w:ascii="Times New Roman"/>
          <w:color w:val="000000"/>
          <w:sz w:val="24"/>
          <w:szCs w:val="24"/>
        </w:rPr>
        <w:t>参考点云的几何特征复杂度宜包含低、中、高三个等级。几何特征复杂度的等级可以通过征集志愿者进行实验决定，或根据客观指标（如Bjøntegaard增量比特率）进行决定。</w:t>
      </w:r>
    </w:p>
    <w:p w14:paraId="7CBE3F04">
      <w:pPr>
        <w:pStyle w:val="24"/>
        <w:spacing w:line="360" w:lineRule="auto"/>
        <w:ind w:firstLineChars="0"/>
        <w:rPr>
          <w:rFonts w:ascii="Times New Roman"/>
          <w:color w:val="000000"/>
          <w:sz w:val="24"/>
          <w:szCs w:val="24"/>
        </w:rPr>
      </w:pPr>
      <w:r>
        <w:rPr>
          <w:rFonts w:ascii="Times New Roman"/>
          <w:color w:val="000000"/>
          <w:sz w:val="24"/>
          <w:szCs w:val="24"/>
        </w:rPr>
        <w:t>4. 属性特征复杂度</w:t>
      </w:r>
    </w:p>
    <w:p w14:paraId="29846ECC">
      <w:pPr>
        <w:pStyle w:val="24"/>
        <w:spacing w:line="360" w:lineRule="auto"/>
        <w:ind w:firstLineChars="0"/>
        <w:rPr>
          <w:rFonts w:ascii="Times New Roman"/>
          <w:color w:val="000000"/>
          <w:sz w:val="24"/>
          <w:szCs w:val="24"/>
        </w:rPr>
      </w:pPr>
      <w:r>
        <w:rPr>
          <w:rFonts w:ascii="Times New Roman"/>
          <w:color w:val="000000"/>
          <w:sz w:val="24"/>
          <w:szCs w:val="24"/>
        </w:rPr>
        <w:t>参考点云的属性特征复杂度宜包含低、中、高三个等级。属性特征复杂度的等级可以通过征集志愿者进行实验决定，或根据客观指标进行决定。</w:t>
      </w:r>
    </w:p>
    <w:p w14:paraId="589B42A1">
      <w:pPr>
        <w:pStyle w:val="24"/>
        <w:numPr>
          <w:ilvl w:val="0"/>
          <w:numId w:val="3"/>
        </w:numPr>
        <w:spacing w:line="360" w:lineRule="auto"/>
        <w:ind w:firstLineChars="0"/>
        <w:rPr>
          <w:rFonts w:ascii="Times New Roman"/>
          <w:b/>
          <w:color w:val="000000"/>
          <w:sz w:val="24"/>
          <w:szCs w:val="24"/>
        </w:rPr>
      </w:pPr>
      <w:r>
        <w:rPr>
          <w:rFonts w:ascii="Times New Roman"/>
          <w:b/>
          <w:color w:val="000000"/>
          <w:sz w:val="24"/>
          <w:szCs w:val="24"/>
        </w:rPr>
        <w:t>基于二维渲染视频的点云主观质量评价方法</w:t>
      </w:r>
    </w:p>
    <w:p w14:paraId="5757EF02">
      <w:pPr>
        <w:pStyle w:val="24"/>
        <w:spacing w:line="360" w:lineRule="auto"/>
        <w:ind w:firstLine="480"/>
        <w:rPr>
          <w:rFonts w:ascii="Times New Roman"/>
          <w:color w:val="000000"/>
          <w:sz w:val="24"/>
          <w:szCs w:val="24"/>
        </w:rPr>
      </w:pPr>
      <w:r>
        <w:rPr>
          <w:rFonts w:ascii="Times New Roman"/>
          <w:color w:val="000000"/>
          <w:sz w:val="24"/>
          <w:szCs w:val="24"/>
        </w:rPr>
        <w:t>基于二维渲染视频的点云主观质量评价方法将三维点云采用一定方式渲染成为二维视频，通过对渲染视频的质量进行评价得到点云的主观质量。可采用固定扫描路径的方式，即使用相机路径模拟人眼观看路径，将相机于轨道路径中捕捉的图像进行拼接得到用于主观实验的二维视频。渲染时预定义的相机路径建议满足以下条件：</w:t>
      </w:r>
    </w:p>
    <w:p w14:paraId="6378F55E">
      <w:pPr>
        <w:pStyle w:val="24"/>
        <w:spacing w:line="360" w:lineRule="auto"/>
        <w:ind w:firstLine="480"/>
        <w:rPr>
          <w:rFonts w:ascii="Times New Roman"/>
          <w:color w:val="000000"/>
          <w:sz w:val="24"/>
          <w:szCs w:val="24"/>
        </w:rPr>
      </w:pPr>
      <w:r>
        <w:rPr>
          <w:rFonts w:ascii="Times New Roman"/>
          <w:color w:val="000000"/>
          <w:sz w:val="24"/>
          <w:szCs w:val="24"/>
        </w:rPr>
        <w:t>1）</w:t>
      </w:r>
      <w:r>
        <w:rPr>
          <w:rFonts w:ascii="Times New Roman"/>
          <w:color w:val="000000"/>
          <w:sz w:val="24"/>
          <w:szCs w:val="24"/>
        </w:rPr>
        <w:tab/>
      </w:r>
      <w:r>
        <w:rPr>
          <w:rFonts w:ascii="Times New Roman"/>
          <w:color w:val="000000"/>
          <w:sz w:val="24"/>
          <w:szCs w:val="24"/>
        </w:rPr>
        <w:t>相机位置与点云中心的最短距离为点云高度的1.5倍且不小于点云宽度的一半；</w:t>
      </w:r>
    </w:p>
    <w:p w14:paraId="326A0897">
      <w:pPr>
        <w:pStyle w:val="24"/>
        <w:spacing w:line="360" w:lineRule="auto"/>
        <w:ind w:firstLine="480"/>
        <w:rPr>
          <w:rFonts w:ascii="Times New Roman"/>
          <w:color w:val="000000"/>
          <w:sz w:val="24"/>
          <w:szCs w:val="24"/>
        </w:rPr>
      </w:pPr>
      <w:r>
        <w:rPr>
          <w:rFonts w:ascii="Times New Roman"/>
          <w:color w:val="000000"/>
          <w:sz w:val="24"/>
          <w:szCs w:val="24"/>
        </w:rPr>
        <w:t>2）相机路径宜满足在内容捕捉时个个局部都得以渲染；</w:t>
      </w:r>
    </w:p>
    <w:p w14:paraId="28D862D9">
      <w:pPr>
        <w:pStyle w:val="24"/>
        <w:spacing w:line="360" w:lineRule="auto"/>
        <w:ind w:firstLine="480"/>
        <w:rPr>
          <w:rFonts w:ascii="Times New Roman"/>
          <w:color w:val="000000"/>
          <w:sz w:val="24"/>
          <w:szCs w:val="24"/>
        </w:rPr>
      </w:pPr>
      <w:r>
        <w:rPr>
          <w:rFonts w:ascii="Times New Roman"/>
          <w:color w:val="000000"/>
          <w:sz w:val="24"/>
          <w:szCs w:val="24"/>
        </w:rPr>
        <w:t>3）</w:t>
      </w:r>
      <w:r>
        <w:rPr>
          <w:rFonts w:ascii="Times New Roman"/>
          <w:color w:val="000000"/>
          <w:sz w:val="24"/>
          <w:szCs w:val="24"/>
        </w:rPr>
        <w:tab/>
      </w:r>
      <w:r>
        <w:rPr>
          <w:rFonts w:ascii="Times New Roman"/>
          <w:color w:val="000000"/>
          <w:sz w:val="24"/>
          <w:szCs w:val="24"/>
        </w:rPr>
        <w:t>渲染过程应避免部分渲染方式中存在的额外处理过程，如轨迹平滑等；</w:t>
      </w:r>
    </w:p>
    <w:p w14:paraId="1054D815">
      <w:pPr>
        <w:pStyle w:val="24"/>
        <w:spacing w:line="360" w:lineRule="auto"/>
        <w:ind w:firstLine="480"/>
        <w:rPr>
          <w:rFonts w:ascii="Times New Roman"/>
          <w:color w:val="000000"/>
          <w:sz w:val="24"/>
          <w:szCs w:val="24"/>
        </w:rPr>
      </w:pPr>
      <w:r>
        <w:rPr>
          <w:rFonts w:ascii="Times New Roman"/>
          <w:color w:val="000000"/>
          <w:sz w:val="24"/>
          <w:szCs w:val="24"/>
        </w:rPr>
        <w:t>4）</w:t>
      </w:r>
      <w:r>
        <w:rPr>
          <w:rFonts w:ascii="Times New Roman"/>
          <w:color w:val="000000"/>
          <w:sz w:val="24"/>
          <w:szCs w:val="24"/>
        </w:rPr>
        <w:tab/>
      </w:r>
      <w:r>
        <w:rPr>
          <w:rFonts w:ascii="Times New Roman"/>
          <w:color w:val="000000"/>
          <w:sz w:val="24"/>
          <w:szCs w:val="24"/>
        </w:rPr>
        <w:t>帧率、时长分别建议为30帧/每秒和12秒，针对位宽/尺寸较大的点云，可适当增加观看时长；</w:t>
      </w:r>
    </w:p>
    <w:p w14:paraId="21F2486A">
      <w:pPr>
        <w:pStyle w:val="24"/>
        <w:spacing w:line="360" w:lineRule="auto"/>
        <w:ind w:firstLine="480"/>
        <w:rPr>
          <w:rFonts w:ascii="Times New Roman"/>
          <w:color w:val="000000"/>
          <w:sz w:val="24"/>
          <w:szCs w:val="24"/>
        </w:rPr>
      </w:pPr>
      <w:r>
        <w:rPr>
          <w:rFonts w:ascii="Times New Roman"/>
          <w:color w:val="000000"/>
          <w:sz w:val="24"/>
          <w:szCs w:val="24"/>
        </w:rPr>
        <w:t>5）视频背景宜选择蓝色渐变色，避免使用黑色背景；</w:t>
      </w:r>
    </w:p>
    <w:p w14:paraId="66D0D97B">
      <w:pPr>
        <w:pStyle w:val="24"/>
        <w:spacing w:line="360" w:lineRule="auto"/>
        <w:ind w:firstLine="480"/>
        <w:rPr>
          <w:rFonts w:ascii="Times New Roman"/>
          <w:color w:val="000000"/>
          <w:sz w:val="24"/>
          <w:szCs w:val="24"/>
        </w:rPr>
      </w:pPr>
      <w:r>
        <w:rPr>
          <w:rFonts w:ascii="Times New Roman"/>
          <w:color w:val="000000"/>
          <w:sz w:val="24"/>
          <w:szCs w:val="24"/>
        </w:rPr>
        <w:t>6）</w:t>
      </w:r>
      <w:r>
        <w:rPr>
          <w:rFonts w:ascii="Times New Roman"/>
          <w:color w:val="000000"/>
          <w:sz w:val="24"/>
          <w:szCs w:val="24"/>
        </w:rPr>
        <w:tab/>
      </w:r>
      <w:r>
        <w:rPr>
          <w:rFonts w:ascii="Times New Roman"/>
          <w:color w:val="000000"/>
          <w:sz w:val="24"/>
          <w:szCs w:val="24"/>
        </w:rPr>
        <w:t>点云渲染后的视频分辨率应不超过呈现硬件设备的分辨率，避免视频采样造成的质量影响。建议根据呈现设备的分辨率和点云位宽进行双向选择;</w:t>
      </w:r>
    </w:p>
    <w:p w14:paraId="75342EC1">
      <w:pPr>
        <w:pStyle w:val="24"/>
        <w:spacing w:line="360" w:lineRule="auto"/>
        <w:ind w:firstLine="480"/>
        <w:rPr>
          <w:rFonts w:ascii="Times New Roman"/>
          <w:color w:val="000000"/>
          <w:sz w:val="24"/>
          <w:szCs w:val="24"/>
        </w:rPr>
      </w:pPr>
      <w:r>
        <w:rPr>
          <w:rFonts w:ascii="Times New Roman"/>
          <w:color w:val="000000"/>
          <w:sz w:val="24"/>
          <w:szCs w:val="24"/>
        </w:rPr>
        <w:t>7）渲染视频应以无损的方式呈现在播放设备上。</w:t>
      </w:r>
    </w:p>
    <w:p w14:paraId="6DF2919B">
      <w:pPr>
        <w:pStyle w:val="24"/>
        <w:spacing w:line="360" w:lineRule="auto"/>
        <w:ind w:firstLineChars="0"/>
        <w:rPr>
          <w:rFonts w:ascii="Times New Roman"/>
          <w:color w:val="000000"/>
          <w:sz w:val="24"/>
          <w:szCs w:val="24"/>
        </w:rPr>
      </w:pPr>
      <w:r>
        <w:rPr>
          <w:rFonts w:ascii="Times New Roman"/>
          <w:color w:val="000000"/>
          <w:sz w:val="24"/>
          <w:szCs w:val="24"/>
        </w:rPr>
        <w:t>同时，进行本实验设置时需要再实验室环境下进行且渲染视频的呈现设备应满足以下条件：</w:t>
      </w:r>
    </w:p>
    <w:p w14:paraId="0DC8CBF1">
      <w:pPr>
        <w:pStyle w:val="24"/>
        <w:spacing w:line="360" w:lineRule="auto"/>
        <w:ind w:firstLineChars="0"/>
        <w:rPr>
          <w:rFonts w:ascii="Times New Roman"/>
          <w:color w:val="000000"/>
          <w:sz w:val="24"/>
          <w:szCs w:val="24"/>
        </w:rPr>
      </w:pPr>
      <w:r>
        <w:rPr>
          <w:rFonts w:ascii="Times New Roman"/>
          <w:color w:val="000000"/>
          <w:sz w:val="24"/>
          <w:szCs w:val="24"/>
        </w:rPr>
        <w:t>1）</w:t>
      </w:r>
      <w:r>
        <w:rPr>
          <w:rFonts w:ascii="Times New Roman"/>
          <w:color w:val="000000"/>
          <w:sz w:val="24"/>
          <w:szCs w:val="24"/>
        </w:rPr>
        <w:tab/>
      </w:r>
      <w:r>
        <w:rPr>
          <w:rFonts w:ascii="Times New Roman"/>
          <w:color w:val="000000"/>
          <w:sz w:val="24"/>
          <w:szCs w:val="24"/>
        </w:rPr>
        <w:t>点云渲染视频呈现设备分辨率应超过渲染后视频的分辨率，以避免视频采样造成的影响；</w:t>
      </w:r>
    </w:p>
    <w:p w14:paraId="6B448DED">
      <w:pPr>
        <w:pStyle w:val="24"/>
        <w:spacing w:line="360" w:lineRule="auto"/>
        <w:ind w:firstLineChars="0"/>
        <w:rPr>
          <w:rFonts w:ascii="Times New Roman"/>
          <w:color w:val="000000"/>
          <w:sz w:val="24"/>
          <w:szCs w:val="24"/>
        </w:rPr>
      </w:pPr>
      <w:r>
        <w:rPr>
          <w:rFonts w:ascii="Times New Roman"/>
          <w:color w:val="000000"/>
          <w:sz w:val="24"/>
          <w:szCs w:val="24"/>
        </w:rPr>
        <w:t>2）点云渲染呈现视频色域应支持sRGB或更广范围；</w:t>
      </w:r>
    </w:p>
    <w:p w14:paraId="4005B1D6">
      <w:pPr>
        <w:pStyle w:val="24"/>
        <w:spacing w:line="360" w:lineRule="auto"/>
        <w:ind w:firstLineChars="0"/>
        <w:rPr>
          <w:rFonts w:ascii="Times New Roman"/>
          <w:color w:val="000000"/>
          <w:sz w:val="24"/>
          <w:szCs w:val="24"/>
        </w:rPr>
      </w:pPr>
      <w:r>
        <w:rPr>
          <w:rFonts w:ascii="Times New Roman"/>
          <w:color w:val="000000"/>
          <w:sz w:val="24"/>
          <w:szCs w:val="24"/>
        </w:rPr>
        <w:t>3）观看距离宜为显示设备高度的1.5倍。</w:t>
      </w:r>
    </w:p>
    <w:p w14:paraId="3584386F">
      <w:pPr>
        <w:pStyle w:val="24"/>
        <w:spacing w:line="360" w:lineRule="auto"/>
        <w:ind w:firstLine="480"/>
        <w:rPr>
          <w:rFonts w:ascii="Times New Roman"/>
          <w:color w:val="000000"/>
          <w:sz w:val="24"/>
          <w:szCs w:val="24"/>
        </w:rPr>
      </w:pPr>
      <w:r>
        <w:rPr>
          <w:rFonts w:ascii="Times New Roman"/>
          <w:color w:val="000000"/>
          <w:sz w:val="24"/>
          <w:szCs w:val="24"/>
        </w:rPr>
        <w:t>对于主观实验中所召集的测试人员、观看员，通常有两种类型，即专业观看员和非专业观看员。一般由非专业观看员来进行主观评价，当需要精确判断时，可由受过专业训练的专业观看员来进行评价和分析。</w:t>
      </w:r>
    </w:p>
    <w:p w14:paraId="2C75BE10">
      <w:pPr>
        <w:pStyle w:val="24"/>
        <w:spacing w:line="360" w:lineRule="auto"/>
        <w:ind w:firstLine="480"/>
        <w:rPr>
          <w:rFonts w:ascii="Times New Roman"/>
          <w:color w:val="000000"/>
          <w:sz w:val="24"/>
          <w:szCs w:val="24"/>
        </w:rPr>
      </w:pPr>
      <w:r>
        <w:rPr>
          <w:rFonts w:ascii="Times New Roman"/>
          <w:color w:val="000000"/>
          <w:sz w:val="24"/>
          <w:szCs w:val="24"/>
        </w:rPr>
        <w:t>观看员应具有代表性：</w:t>
      </w:r>
    </w:p>
    <w:p w14:paraId="3C092715">
      <w:pPr>
        <w:pStyle w:val="24"/>
        <w:spacing w:line="360" w:lineRule="auto"/>
        <w:ind w:firstLine="480"/>
        <w:rPr>
          <w:rFonts w:ascii="Times New Roman"/>
          <w:color w:val="000000"/>
          <w:sz w:val="24"/>
          <w:szCs w:val="24"/>
        </w:rPr>
      </w:pPr>
      <w:r>
        <w:rPr>
          <w:rFonts w:ascii="Times New Roman"/>
          <w:color w:val="000000"/>
          <w:sz w:val="24"/>
          <w:szCs w:val="24"/>
        </w:rPr>
        <w:t>1）应包括不同性别、年龄、文化层次的观众；</w:t>
      </w:r>
    </w:p>
    <w:p w14:paraId="462D1E1B">
      <w:pPr>
        <w:pStyle w:val="24"/>
        <w:spacing w:line="360" w:lineRule="auto"/>
        <w:ind w:firstLine="480"/>
        <w:rPr>
          <w:rFonts w:ascii="Times New Roman"/>
          <w:color w:val="000000"/>
          <w:sz w:val="24"/>
          <w:szCs w:val="24"/>
        </w:rPr>
      </w:pPr>
      <w:r>
        <w:rPr>
          <w:rFonts w:ascii="Times New Roman"/>
          <w:color w:val="000000"/>
          <w:sz w:val="24"/>
          <w:szCs w:val="24"/>
        </w:rPr>
        <w:t>2）应具有正常的视力（含校正视力）和色觉；</w:t>
      </w:r>
    </w:p>
    <w:p w14:paraId="4BE8C49B">
      <w:pPr>
        <w:pStyle w:val="24"/>
        <w:spacing w:line="360" w:lineRule="auto"/>
        <w:ind w:firstLine="480"/>
        <w:rPr>
          <w:rFonts w:ascii="Times New Roman"/>
          <w:color w:val="000000"/>
          <w:sz w:val="24"/>
          <w:szCs w:val="24"/>
        </w:rPr>
      </w:pPr>
      <w:r>
        <w:rPr>
          <w:rFonts w:ascii="Times New Roman"/>
          <w:color w:val="000000"/>
          <w:sz w:val="24"/>
          <w:szCs w:val="24"/>
        </w:rPr>
        <w:t>3）应无三维眩晕症 ；</w:t>
      </w:r>
    </w:p>
    <w:p w14:paraId="3BCB3D22">
      <w:pPr>
        <w:pStyle w:val="24"/>
        <w:spacing w:line="360" w:lineRule="auto"/>
        <w:ind w:firstLine="480"/>
        <w:rPr>
          <w:rFonts w:ascii="Times New Roman"/>
          <w:color w:val="000000"/>
          <w:sz w:val="24"/>
          <w:szCs w:val="24"/>
        </w:rPr>
      </w:pPr>
      <w:r>
        <w:rPr>
          <w:rFonts w:ascii="Times New Roman"/>
          <w:color w:val="000000"/>
          <w:sz w:val="24"/>
          <w:szCs w:val="24"/>
        </w:rPr>
        <w:t>4）应具有一定分析判断能力；</w:t>
      </w:r>
    </w:p>
    <w:p w14:paraId="7EF51E7C">
      <w:pPr>
        <w:pStyle w:val="24"/>
        <w:spacing w:line="360" w:lineRule="auto"/>
        <w:ind w:firstLine="480"/>
        <w:rPr>
          <w:rFonts w:ascii="Times New Roman"/>
          <w:color w:val="000000"/>
          <w:sz w:val="24"/>
          <w:szCs w:val="24"/>
        </w:rPr>
      </w:pPr>
      <w:r>
        <w:rPr>
          <w:rFonts w:ascii="Times New Roman"/>
          <w:color w:val="000000"/>
          <w:sz w:val="24"/>
          <w:szCs w:val="24"/>
        </w:rPr>
        <w:t>5）应能较快地接受和掌握评价方法和要求。</w:t>
      </w:r>
    </w:p>
    <w:p w14:paraId="1C9F72C9">
      <w:pPr>
        <w:pStyle w:val="24"/>
        <w:spacing w:line="360" w:lineRule="auto"/>
        <w:ind w:firstLine="480"/>
        <w:rPr>
          <w:rFonts w:ascii="Times New Roman"/>
          <w:color w:val="000000"/>
          <w:sz w:val="24"/>
          <w:szCs w:val="24"/>
        </w:rPr>
      </w:pPr>
      <w:r>
        <w:rPr>
          <w:rFonts w:ascii="Times New Roman"/>
          <w:color w:val="000000"/>
          <w:sz w:val="24"/>
          <w:szCs w:val="24"/>
        </w:rPr>
        <w:t>主观评价所需观看员的人数应大于等于15人。在正式实验开始前，测试人员通过观看教学视频来熟悉点云失真类型、了解失真程度:</w:t>
      </w:r>
    </w:p>
    <w:p w14:paraId="2C03468A">
      <w:pPr>
        <w:pStyle w:val="24"/>
        <w:spacing w:line="360" w:lineRule="auto"/>
        <w:ind w:firstLine="480"/>
        <w:rPr>
          <w:rFonts w:ascii="Times New Roman"/>
          <w:color w:val="000000"/>
          <w:sz w:val="24"/>
          <w:szCs w:val="24"/>
        </w:rPr>
      </w:pPr>
      <w:r>
        <w:rPr>
          <w:rFonts w:ascii="Times New Roman"/>
          <w:color w:val="000000"/>
          <w:sz w:val="24"/>
          <w:szCs w:val="24"/>
        </w:rPr>
        <w:t>1）通过教学视频中的字幕功能介绍主观实验的目的；</w:t>
      </w:r>
    </w:p>
    <w:p w14:paraId="14B5D47B">
      <w:pPr>
        <w:pStyle w:val="24"/>
        <w:spacing w:line="360" w:lineRule="auto"/>
        <w:ind w:firstLine="480"/>
        <w:rPr>
          <w:rFonts w:ascii="Times New Roman"/>
          <w:color w:val="000000"/>
          <w:sz w:val="24"/>
          <w:szCs w:val="24"/>
        </w:rPr>
      </w:pPr>
      <w:r>
        <w:rPr>
          <w:rFonts w:ascii="Times New Roman"/>
          <w:color w:val="000000"/>
          <w:sz w:val="24"/>
          <w:szCs w:val="24"/>
        </w:rPr>
        <w:t>2）</w:t>
      </w:r>
      <w:r>
        <w:rPr>
          <w:rFonts w:ascii="Times New Roman"/>
          <w:color w:val="000000"/>
          <w:sz w:val="24"/>
          <w:szCs w:val="24"/>
        </w:rPr>
        <w:tab/>
      </w:r>
      <w:r>
        <w:rPr>
          <w:rFonts w:ascii="Times New Roman"/>
          <w:color w:val="000000"/>
          <w:sz w:val="24"/>
          <w:szCs w:val="24"/>
        </w:rPr>
        <w:t>展示不同失真类型下较好质量的、中等质量的和较差质量的点云视频。通过教学视频，让测试人员了解失真类型和失真程度，但不应出现影响评分结果的暗示。训练阶段选用的点云不能是正式主观实验评估中的点云。</w:t>
      </w:r>
    </w:p>
    <w:p w14:paraId="1EA53CF1">
      <w:pPr>
        <w:pStyle w:val="24"/>
        <w:spacing w:line="360" w:lineRule="auto"/>
        <w:ind w:firstLine="480"/>
        <w:rPr>
          <w:rFonts w:ascii="Times New Roman"/>
          <w:color w:val="000000"/>
          <w:sz w:val="24"/>
          <w:szCs w:val="24"/>
        </w:rPr>
      </w:pPr>
      <w:r>
        <w:rPr>
          <w:rFonts w:ascii="Times New Roman"/>
          <w:color w:val="000000"/>
          <w:sz w:val="24"/>
          <w:szCs w:val="24"/>
        </w:rPr>
        <w:t>建议主观实验采用ITU-R BT. 500-14中的DSIS播放模式，一次主观实验可包含多个视频对。视频对依次出现，连续播放。每次评估包含一个视频对，在二维显示器中先后播放两个点云渲染视频，第一个是参考点云视频，第二个是失真点云视频，中间存在时间间隔，如</w:t>
      </w:r>
      <w:r>
        <w:rPr>
          <w:rFonts w:ascii="Times New Roman"/>
          <w:color w:val="000000"/>
          <w:sz w:val="24"/>
          <w:szCs w:val="24"/>
        </w:rPr>
        <w:fldChar w:fldCharType="begin"/>
      </w:r>
      <w:r>
        <w:rPr>
          <w:rFonts w:ascii="Times New Roman"/>
          <w:color w:val="000000"/>
          <w:sz w:val="24"/>
          <w:szCs w:val="24"/>
        </w:rPr>
        <w:instrText xml:space="preserve"> REF _Ref122613098 \r \h  \* MERGEFORMAT </w:instrText>
      </w:r>
      <w:r>
        <w:rPr>
          <w:rFonts w:ascii="Times New Roman"/>
          <w:color w:val="000000"/>
          <w:sz w:val="24"/>
          <w:szCs w:val="24"/>
        </w:rPr>
        <w:fldChar w:fldCharType="separate"/>
      </w:r>
      <w:r>
        <w:rPr>
          <w:rFonts w:ascii="Times New Roman"/>
          <w:color w:val="000000"/>
          <w:sz w:val="24"/>
          <w:szCs w:val="24"/>
        </w:rPr>
        <w:t>图1</w:t>
      </w:r>
      <w:r>
        <w:rPr>
          <w:rFonts w:ascii="Times New Roman"/>
          <w:color w:val="000000"/>
          <w:sz w:val="24"/>
          <w:szCs w:val="24"/>
        </w:rPr>
        <w:fldChar w:fldCharType="end"/>
      </w:r>
      <w:r>
        <w:rPr>
          <w:rFonts w:ascii="Times New Roman"/>
          <w:color w:val="000000"/>
          <w:sz w:val="24"/>
          <w:szCs w:val="24"/>
        </w:rPr>
        <w:t>所示。失真点云视频即为待测样本。参考点云可以包含在待测样本中作为隐参考。</w:t>
      </w:r>
    </w:p>
    <w:p w14:paraId="441F9D40">
      <w:pPr>
        <w:pStyle w:val="33"/>
        <w:spacing w:before="60" w:beforeAutospacing="0" w:after="60" w:afterAutospacing="0" w:line="20" w:lineRule="atLeast"/>
        <w:ind w:firstLine="1350"/>
        <w:jc w:val="center"/>
        <w:rPr>
          <w:rFonts w:ascii="Times New Roman" w:hAnsi="Times New Roman" w:cs="Times New Roman"/>
          <w:color w:val="000000"/>
          <w:sz w:val="27"/>
          <w:szCs w:val="27"/>
        </w:rPr>
      </w:pPr>
      <w:r>
        <w:rPr>
          <w:rFonts w:ascii="Times New Roman" w:hAnsi="Times New Roman" w:cs="Times New Roman"/>
          <w:color w:val="000000"/>
          <w:sz w:val="27"/>
          <w:szCs w:val="27"/>
        </w:rPr>
        <w:fldChar w:fldCharType="begin"/>
      </w:r>
      <w:r>
        <w:rPr>
          <w:rFonts w:ascii="Times New Roman" w:hAnsi="Times New Roman" w:cs="Times New Roman"/>
          <w:color w:val="000000"/>
          <w:sz w:val="27"/>
          <w:szCs w:val="27"/>
        </w:rPr>
        <w:instrText xml:space="preserve"> INCLUDEPICTURE "https://docimg5.docs.qq.com/image/qU8q_KTi0fbW-kkqpcv9Qw.png?w=488&amp;h=340" \* MERGEFORMATINET </w:instrText>
      </w:r>
      <w:r>
        <w:rPr>
          <w:rFonts w:ascii="Times New Roman" w:hAnsi="Times New Roman" w:cs="Times New Roman"/>
          <w:color w:val="000000"/>
          <w:sz w:val="27"/>
          <w:szCs w:val="27"/>
        </w:rPr>
        <w:fldChar w:fldCharType="separate"/>
      </w:r>
      <w:r>
        <w:rPr>
          <w:rFonts w:ascii="Times New Roman" w:hAnsi="Times New Roman" w:cs="Times New Roman"/>
          <w:color w:val="000000"/>
          <w:sz w:val="27"/>
          <w:szCs w:val="27"/>
        </w:rPr>
        <w:drawing>
          <wp:inline distT="0" distB="0" distL="0" distR="0">
            <wp:extent cx="2818765" cy="1955800"/>
            <wp:effectExtent l="0" t="0" r="0" b="0"/>
            <wp:docPr id="1" name="图片 33" descr="形状&#10;&#10;低可信度描述已自动生成"/>
            <wp:cNvGraphicFramePr/>
            <a:graphic xmlns:a="http://schemas.openxmlformats.org/drawingml/2006/main">
              <a:graphicData uri="http://schemas.openxmlformats.org/drawingml/2006/picture">
                <pic:pic xmlns:pic="http://schemas.openxmlformats.org/drawingml/2006/picture">
                  <pic:nvPicPr>
                    <pic:cNvPr id="1" name="图片 33" descr="形状&#10;&#10;低可信度描述已自动生成"/>
                    <pic:cNvPicPr/>
                  </pic:nvPicPr>
                  <pic:blipFill>
                    <a:blip r:embed="rId5">
                      <a:extLst>
                        <a:ext uri="{28A0092B-C50C-407E-A947-70E740481C1C}">
                          <a14:useLocalDpi xmlns:a14="http://schemas.microsoft.com/office/drawing/2010/main" val="0"/>
                        </a:ext>
                      </a:extLst>
                    </a:blip>
                    <a:srcRect/>
                    <a:stretch>
                      <a:fillRect/>
                    </a:stretch>
                  </pic:blipFill>
                  <pic:spPr>
                    <a:xfrm>
                      <a:off x="0" y="0"/>
                      <a:ext cx="2818765" cy="1955800"/>
                    </a:xfrm>
                    <a:prstGeom prst="rect">
                      <a:avLst/>
                    </a:prstGeom>
                    <a:noFill/>
                    <a:ln>
                      <a:noFill/>
                    </a:ln>
                  </pic:spPr>
                </pic:pic>
              </a:graphicData>
            </a:graphic>
          </wp:inline>
        </w:drawing>
      </w:r>
      <w:r>
        <w:rPr>
          <w:rFonts w:ascii="Times New Roman" w:hAnsi="Times New Roman" w:cs="Times New Roman"/>
          <w:color w:val="000000"/>
          <w:sz w:val="27"/>
          <w:szCs w:val="27"/>
        </w:rPr>
        <w:fldChar w:fldCharType="end"/>
      </w:r>
    </w:p>
    <w:p w14:paraId="0BE086D5">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bookmarkStart w:id="0" w:name="_Ref122613098"/>
      <w:r>
        <w:rPr>
          <w:rFonts w:ascii="Times New Roman" w:hAnsi="Times New Roman" w:eastAsia="黑体" w:cs="Times New Roman"/>
          <w:color w:val="000000"/>
          <w:sz w:val="21"/>
          <w:szCs w:val="21"/>
        </w:rPr>
        <w:t>视频呈现及评分模式</w:t>
      </w:r>
      <w:bookmarkEnd w:id="0"/>
    </w:p>
    <w:p w14:paraId="3FA1400B">
      <w:pPr>
        <w:pStyle w:val="24"/>
        <w:spacing w:line="360" w:lineRule="auto"/>
        <w:ind w:firstLine="480"/>
        <w:rPr>
          <w:rFonts w:ascii="Times New Roman"/>
          <w:color w:val="000000"/>
          <w:sz w:val="24"/>
          <w:szCs w:val="24"/>
        </w:rPr>
      </w:pPr>
      <w:r>
        <w:rPr>
          <w:rFonts w:ascii="Times New Roman"/>
          <w:color w:val="000000"/>
          <w:sz w:val="24"/>
          <w:szCs w:val="24"/>
        </w:rPr>
        <w:t>被试人员在已知前一段为参考点云视频、后一段为失真点云视频的情况下，对失真点云视频相对于参考点云视频的损伤程度进行打分。评分规则采取常用的5档损伤程度打分，即（“5分:  损伤不可察觉”, “4分: 损伤可察觉，但不令人讨厌”, “3分: 损伤令人有些讨厌”, “2分:  损伤令人讨厌”, “1分:  损伤令人很讨厌”）。</w:t>
      </w:r>
    </w:p>
    <w:p w14:paraId="2822B559">
      <w:pPr>
        <w:pStyle w:val="24"/>
        <w:spacing w:line="360" w:lineRule="auto"/>
        <w:ind w:firstLine="480"/>
        <w:rPr>
          <w:rFonts w:ascii="Times New Roman"/>
          <w:color w:val="000000"/>
          <w:sz w:val="24"/>
          <w:szCs w:val="24"/>
        </w:rPr>
      </w:pPr>
      <w:r>
        <w:rPr>
          <w:rFonts w:ascii="Times New Roman"/>
          <w:color w:val="000000"/>
          <w:sz w:val="24"/>
          <w:szCs w:val="24"/>
        </w:rPr>
        <w:t>从训练阶段开始的完整实验过程呈现模式示意图如</w:t>
      </w:r>
      <w:r>
        <w:rPr>
          <w:rFonts w:ascii="Times New Roman"/>
          <w:color w:val="000000"/>
          <w:sz w:val="24"/>
          <w:szCs w:val="24"/>
        </w:rPr>
        <w:fldChar w:fldCharType="begin"/>
      </w:r>
      <w:r>
        <w:rPr>
          <w:rFonts w:ascii="Times New Roman"/>
          <w:color w:val="000000"/>
          <w:sz w:val="24"/>
          <w:szCs w:val="24"/>
        </w:rPr>
        <w:instrText xml:space="preserve"> REF _Ref122613081 \r \h  \* MERGEFORMAT </w:instrText>
      </w:r>
      <w:r>
        <w:rPr>
          <w:rFonts w:ascii="Times New Roman"/>
          <w:color w:val="000000"/>
          <w:sz w:val="24"/>
          <w:szCs w:val="24"/>
        </w:rPr>
        <w:fldChar w:fldCharType="separate"/>
      </w:r>
      <w:r>
        <w:rPr>
          <w:rFonts w:ascii="Times New Roman"/>
          <w:color w:val="000000"/>
          <w:sz w:val="24"/>
          <w:szCs w:val="24"/>
        </w:rPr>
        <w:t>图2</w:t>
      </w:r>
      <w:r>
        <w:rPr>
          <w:rFonts w:ascii="Times New Roman"/>
          <w:color w:val="000000"/>
          <w:sz w:val="24"/>
          <w:szCs w:val="24"/>
        </w:rPr>
        <w:fldChar w:fldCharType="end"/>
      </w:r>
      <w:r>
        <w:rPr>
          <w:rFonts w:ascii="Times New Roman"/>
          <w:color w:val="000000"/>
          <w:sz w:val="24"/>
          <w:szCs w:val="24"/>
        </w:rPr>
        <w:t>。测试阶段中，所有待测点云视频及其对应的参考点云视频组成的视频对应按照预先设定的伪随机顺序进行播放，且至少应设置两组不同的播放顺序，宜对每位测试人员设置不同的播放顺序，以此消除播放顺序带来的影响。播放顺序中，来自同一参考点云视频的测试视频宜不连续出现。播放过程中每个视频对播放一次，测试人员需在每对视频播放结束后进行打分。</w:t>
      </w:r>
    </w:p>
    <w:p w14:paraId="5693D885">
      <w:pPr>
        <w:pStyle w:val="33"/>
        <w:spacing w:before="60" w:beforeAutospacing="0" w:after="60" w:afterAutospacing="0" w:line="20" w:lineRule="atLeast"/>
        <w:jc w:val="center"/>
        <w:rPr>
          <w:rFonts w:ascii="Times New Roman" w:hAnsi="Times New Roman" w:cs="Times New Roman"/>
          <w:color w:val="000000"/>
          <w:sz w:val="27"/>
          <w:szCs w:val="27"/>
        </w:rPr>
      </w:pPr>
      <w:r>
        <w:rPr>
          <w:rFonts w:ascii="Times New Roman" w:hAnsi="Times New Roman" w:cs="Times New Roman"/>
          <w:color w:val="000000"/>
          <w:sz w:val="27"/>
          <w:szCs w:val="27"/>
        </w:rPr>
        <w:fldChar w:fldCharType="begin"/>
      </w:r>
      <w:r>
        <w:rPr>
          <w:rFonts w:ascii="Times New Roman" w:hAnsi="Times New Roman" w:cs="Times New Roman"/>
          <w:color w:val="000000"/>
          <w:sz w:val="27"/>
          <w:szCs w:val="27"/>
        </w:rPr>
        <w:instrText xml:space="preserve"> INCLUDEPICTURE "https://docimg7.docs.qq.com/image/eFGS2URdplSQtnJXkZHv9Q.png?w=858&amp;h=160" \* MERGEFORMATINET </w:instrText>
      </w:r>
      <w:r>
        <w:rPr>
          <w:rFonts w:ascii="Times New Roman" w:hAnsi="Times New Roman" w:cs="Times New Roman"/>
          <w:color w:val="000000"/>
          <w:sz w:val="27"/>
          <w:szCs w:val="27"/>
        </w:rPr>
        <w:fldChar w:fldCharType="separate"/>
      </w:r>
      <w:r>
        <w:rPr>
          <w:rFonts w:ascii="Times New Roman" w:hAnsi="Times New Roman" w:cs="Times New Roman"/>
          <w:color w:val="000000"/>
          <w:sz w:val="27"/>
          <w:szCs w:val="27"/>
        </w:rPr>
        <w:drawing>
          <wp:inline distT="0" distB="0" distL="0" distR="0">
            <wp:extent cx="5674995" cy="1056005"/>
            <wp:effectExtent l="0" t="0" r="0" b="0"/>
            <wp:docPr id="2" name="图片 34" descr="形状&#10;&#10;中度可信度描述已自动生成"/>
            <wp:cNvGraphicFramePr/>
            <a:graphic xmlns:a="http://schemas.openxmlformats.org/drawingml/2006/main">
              <a:graphicData uri="http://schemas.openxmlformats.org/drawingml/2006/picture">
                <pic:pic xmlns:pic="http://schemas.openxmlformats.org/drawingml/2006/picture">
                  <pic:nvPicPr>
                    <pic:cNvPr id="2" name="图片 34" descr="形状&#10;&#10;中度可信度描述已自动生成"/>
                    <pic:cNvPicPr/>
                  </pic:nvPicPr>
                  <pic:blipFill>
                    <a:blip r:embed="rId6">
                      <a:extLst>
                        <a:ext uri="{28A0092B-C50C-407E-A947-70E740481C1C}">
                          <a14:useLocalDpi xmlns:a14="http://schemas.microsoft.com/office/drawing/2010/main" val="0"/>
                        </a:ext>
                      </a:extLst>
                    </a:blip>
                    <a:srcRect/>
                    <a:stretch>
                      <a:fillRect/>
                    </a:stretch>
                  </pic:blipFill>
                  <pic:spPr>
                    <a:xfrm>
                      <a:off x="0" y="0"/>
                      <a:ext cx="5674995" cy="1056005"/>
                    </a:xfrm>
                    <a:prstGeom prst="rect">
                      <a:avLst/>
                    </a:prstGeom>
                    <a:noFill/>
                    <a:ln>
                      <a:noFill/>
                    </a:ln>
                  </pic:spPr>
                </pic:pic>
              </a:graphicData>
            </a:graphic>
          </wp:inline>
        </w:drawing>
      </w:r>
      <w:r>
        <w:rPr>
          <w:rFonts w:ascii="Times New Roman" w:hAnsi="Times New Roman" w:cs="Times New Roman"/>
          <w:color w:val="000000"/>
          <w:sz w:val="27"/>
          <w:szCs w:val="27"/>
        </w:rPr>
        <w:fldChar w:fldCharType="end"/>
      </w:r>
    </w:p>
    <w:p w14:paraId="00E64135">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r>
        <w:rPr>
          <w:rFonts w:ascii="Times New Roman" w:hAnsi="Times New Roman" w:eastAsia="黑体" w:cs="Times New Roman"/>
          <w:color w:val="000000"/>
          <w:sz w:val="21"/>
          <w:szCs w:val="21"/>
        </w:rPr>
        <w:t xml:space="preserve"> </w:t>
      </w:r>
      <w:bookmarkStart w:id="1" w:name="_Ref122613081"/>
      <w:r>
        <w:rPr>
          <w:rFonts w:ascii="Times New Roman" w:hAnsi="Times New Roman" w:eastAsia="黑体" w:cs="Times New Roman"/>
          <w:color w:val="000000"/>
          <w:sz w:val="21"/>
          <w:szCs w:val="21"/>
        </w:rPr>
        <w:t>指导、训练以及测试阶段的呈现模式</w:t>
      </w:r>
      <w:bookmarkEnd w:id="1"/>
    </w:p>
    <w:p w14:paraId="1C604E65">
      <w:pPr>
        <w:pStyle w:val="24"/>
        <w:spacing w:line="360" w:lineRule="auto"/>
        <w:ind w:firstLine="480"/>
        <w:rPr>
          <w:rFonts w:ascii="Times New Roman"/>
          <w:color w:val="000000"/>
          <w:sz w:val="24"/>
          <w:szCs w:val="24"/>
        </w:rPr>
      </w:pPr>
      <w:r>
        <w:rPr>
          <w:rFonts w:ascii="Times New Roman"/>
          <w:color w:val="000000"/>
          <w:sz w:val="24"/>
          <w:szCs w:val="24"/>
        </w:rPr>
        <w:t>若待测样本数量较多，则应分为多个测试阶段，并在其间安排充分的休息，避免视觉疲劳。每个测试阶段中，包括观看视频和评分在内的活跃时间应不超过25分钟。</w:t>
      </w:r>
    </w:p>
    <w:p w14:paraId="35AC3EC0">
      <w:pPr>
        <w:pStyle w:val="24"/>
        <w:numPr>
          <w:ilvl w:val="0"/>
          <w:numId w:val="3"/>
        </w:numPr>
        <w:spacing w:line="360" w:lineRule="auto"/>
        <w:ind w:firstLineChars="0"/>
        <w:rPr>
          <w:rFonts w:ascii="Times New Roman"/>
          <w:b/>
          <w:color w:val="000000"/>
          <w:sz w:val="24"/>
          <w:szCs w:val="24"/>
        </w:rPr>
      </w:pPr>
      <w:r>
        <w:rPr>
          <w:rFonts w:ascii="Times New Roman"/>
          <w:b/>
          <w:color w:val="000000"/>
          <w:sz w:val="24"/>
          <w:szCs w:val="24"/>
        </w:rPr>
        <w:t>基于6DoF VR的点云主观质量评价方法</w:t>
      </w:r>
    </w:p>
    <w:p w14:paraId="2BF02AB9">
      <w:pPr>
        <w:pStyle w:val="24"/>
        <w:spacing w:line="360" w:lineRule="auto"/>
        <w:ind w:firstLine="480"/>
        <w:rPr>
          <w:rFonts w:ascii="Times New Roman"/>
          <w:color w:val="000000"/>
          <w:sz w:val="24"/>
          <w:szCs w:val="24"/>
        </w:rPr>
      </w:pPr>
      <w:r>
        <w:rPr>
          <w:rFonts w:ascii="Times New Roman"/>
          <w:color w:val="000000"/>
          <w:sz w:val="24"/>
          <w:szCs w:val="24"/>
        </w:rPr>
        <w:t>基于6DoF VR的点云主观质量评价方法通过佩戴VR头盔，将主观实验者置于虚拟环境中。根据VR头盔的位置变化，由计算机实时计算、生成并显示虚拟世界对应的二维图像，从而给观看者一种身临其境的视觉效果。观看者可围绕点云模型自由走动，从不同视角观看点云。</w:t>
      </w:r>
    </w:p>
    <w:p w14:paraId="37A3CAB5">
      <w:pPr>
        <w:pStyle w:val="24"/>
        <w:spacing w:line="360" w:lineRule="auto"/>
        <w:ind w:firstLine="480"/>
        <w:rPr>
          <w:rFonts w:ascii="Times New Roman"/>
          <w:color w:val="000000"/>
          <w:sz w:val="24"/>
          <w:szCs w:val="24"/>
        </w:rPr>
      </w:pPr>
      <w:r>
        <w:rPr>
          <w:rFonts w:ascii="Times New Roman"/>
          <w:color w:val="000000"/>
          <w:sz w:val="24"/>
          <w:szCs w:val="24"/>
        </w:rPr>
        <w:t>佩戴VR头戴式设备进行主观实验时实验室宜满足以下条件：</w:t>
      </w:r>
    </w:p>
    <w:p w14:paraId="21A450E1">
      <w:pPr>
        <w:pStyle w:val="24"/>
        <w:spacing w:line="360" w:lineRule="auto"/>
        <w:ind w:firstLine="480"/>
        <w:rPr>
          <w:rFonts w:ascii="Times New Roman"/>
          <w:color w:val="000000"/>
          <w:sz w:val="24"/>
          <w:szCs w:val="24"/>
        </w:rPr>
      </w:pPr>
      <w:r>
        <w:rPr>
          <w:rFonts w:ascii="Times New Roman"/>
          <w:color w:val="000000"/>
          <w:sz w:val="24"/>
          <w:szCs w:val="24"/>
        </w:rPr>
        <w:t>1）实验室大小应长大于四米，宽大于四米；</w:t>
      </w:r>
    </w:p>
    <w:p w14:paraId="37BF9A63">
      <w:pPr>
        <w:pStyle w:val="24"/>
        <w:spacing w:line="360" w:lineRule="auto"/>
        <w:ind w:firstLine="480"/>
        <w:rPr>
          <w:rFonts w:ascii="Times New Roman"/>
          <w:color w:val="000000"/>
          <w:sz w:val="24"/>
          <w:szCs w:val="24"/>
        </w:rPr>
      </w:pPr>
      <w:r>
        <w:rPr>
          <w:rFonts w:ascii="Times New Roman"/>
          <w:color w:val="000000"/>
          <w:sz w:val="24"/>
          <w:szCs w:val="24"/>
        </w:rPr>
        <w:t>2）环境亮度应为低；</w:t>
      </w:r>
    </w:p>
    <w:p w14:paraId="4C9288DA">
      <w:pPr>
        <w:pStyle w:val="24"/>
        <w:spacing w:line="360" w:lineRule="auto"/>
        <w:ind w:firstLine="480"/>
        <w:rPr>
          <w:rFonts w:ascii="Times New Roman"/>
          <w:color w:val="000000"/>
          <w:sz w:val="24"/>
          <w:szCs w:val="24"/>
        </w:rPr>
      </w:pPr>
      <w:r>
        <w:rPr>
          <w:rFonts w:ascii="Times New Roman"/>
          <w:color w:val="000000"/>
          <w:sz w:val="24"/>
          <w:szCs w:val="24"/>
        </w:rPr>
        <w:t>3）室内环境应无障碍物。</w:t>
      </w:r>
    </w:p>
    <w:p w14:paraId="2C98F893">
      <w:pPr>
        <w:pStyle w:val="24"/>
        <w:spacing w:line="360" w:lineRule="auto"/>
        <w:ind w:firstLine="480"/>
        <w:rPr>
          <w:rFonts w:ascii="Times New Roman"/>
          <w:color w:val="000000"/>
          <w:sz w:val="24"/>
          <w:szCs w:val="24"/>
        </w:rPr>
      </w:pPr>
      <w:r>
        <w:rPr>
          <w:rFonts w:ascii="Times New Roman"/>
          <w:color w:val="000000"/>
          <w:sz w:val="24"/>
          <w:szCs w:val="24"/>
        </w:rPr>
        <w:t>同时，由VR设备渲染的虚拟观看环境宜满足以下条件：</w:t>
      </w:r>
    </w:p>
    <w:p w14:paraId="0384F007">
      <w:pPr>
        <w:pStyle w:val="24"/>
        <w:spacing w:line="360" w:lineRule="auto"/>
        <w:ind w:firstLine="480"/>
        <w:rPr>
          <w:rFonts w:ascii="Times New Roman"/>
          <w:color w:val="000000"/>
          <w:sz w:val="24"/>
          <w:szCs w:val="24"/>
        </w:rPr>
      </w:pPr>
      <w:r>
        <w:rPr>
          <w:rFonts w:ascii="Times New Roman"/>
          <w:color w:val="000000"/>
          <w:sz w:val="24"/>
          <w:szCs w:val="24"/>
        </w:rPr>
        <w:t>1）虚拟场景应为无障碍室内环境；</w:t>
      </w:r>
    </w:p>
    <w:p w14:paraId="1DF9011B">
      <w:pPr>
        <w:pStyle w:val="24"/>
        <w:spacing w:line="360" w:lineRule="auto"/>
        <w:ind w:firstLine="480"/>
        <w:rPr>
          <w:rFonts w:ascii="Times New Roman"/>
          <w:color w:val="000000"/>
          <w:sz w:val="24"/>
          <w:szCs w:val="24"/>
        </w:rPr>
      </w:pPr>
      <w:r>
        <w:rPr>
          <w:rFonts w:ascii="Times New Roman"/>
          <w:color w:val="000000"/>
          <w:sz w:val="24"/>
          <w:szCs w:val="24"/>
        </w:rPr>
        <w:t>2）背景颜色为50%灰色；</w:t>
      </w:r>
    </w:p>
    <w:p w14:paraId="74AC2400">
      <w:pPr>
        <w:pStyle w:val="24"/>
        <w:spacing w:line="360" w:lineRule="auto"/>
        <w:ind w:firstLine="480"/>
        <w:rPr>
          <w:rFonts w:ascii="Times New Roman"/>
          <w:color w:val="000000"/>
          <w:sz w:val="24"/>
          <w:szCs w:val="24"/>
        </w:rPr>
      </w:pPr>
      <w:r>
        <w:rPr>
          <w:rFonts w:ascii="Times New Roman"/>
          <w:color w:val="000000"/>
          <w:sz w:val="24"/>
          <w:szCs w:val="24"/>
        </w:rPr>
        <w:t>3）背景纹理为无；</w:t>
      </w:r>
    </w:p>
    <w:p w14:paraId="0AEE00E0">
      <w:pPr>
        <w:pStyle w:val="24"/>
        <w:spacing w:line="360" w:lineRule="auto"/>
        <w:ind w:firstLine="480"/>
        <w:rPr>
          <w:rFonts w:ascii="Times New Roman"/>
          <w:color w:val="000000"/>
          <w:sz w:val="24"/>
          <w:szCs w:val="24"/>
        </w:rPr>
      </w:pPr>
      <w:r>
        <w:rPr>
          <w:rFonts w:ascii="Times New Roman"/>
          <w:color w:val="000000"/>
          <w:sz w:val="24"/>
          <w:szCs w:val="24"/>
        </w:rPr>
        <w:t>4）环境亮度为低；</w:t>
      </w:r>
    </w:p>
    <w:p w14:paraId="67A44200">
      <w:pPr>
        <w:pStyle w:val="24"/>
        <w:spacing w:line="360" w:lineRule="auto"/>
        <w:ind w:firstLine="480"/>
        <w:rPr>
          <w:rFonts w:ascii="Times New Roman"/>
          <w:color w:val="000000"/>
          <w:sz w:val="24"/>
          <w:szCs w:val="24"/>
        </w:rPr>
      </w:pPr>
      <w:r>
        <w:rPr>
          <w:rFonts w:ascii="Times New Roman"/>
          <w:color w:val="000000"/>
          <w:sz w:val="24"/>
          <w:szCs w:val="24"/>
        </w:rPr>
        <w:t>5）背景色温为D65开尔文；</w:t>
      </w:r>
    </w:p>
    <w:p w14:paraId="2384F5C9">
      <w:pPr>
        <w:pStyle w:val="24"/>
        <w:spacing w:line="360" w:lineRule="auto"/>
        <w:ind w:firstLine="480"/>
        <w:rPr>
          <w:rFonts w:ascii="Times New Roman"/>
          <w:color w:val="000000"/>
          <w:sz w:val="24"/>
          <w:szCs w:val="24"/>
        </w:rPr>
      </w:pPr>
      <w:r>
        <w:rPr>
          <w:rFonts w:ascii="Times New Roman"/>
          <w:color w:val="000000"/>
          <w:sz w:val="24"/>
          <w:szCs w:val="24"/>
        </w:rPr>
        <w:t>6）光源类型（可选）为区域灯；</w:t>
      </w:r>
    </w:p>
    <w:p w14:paraId="3ED5D631">
      <w:pPr>
        <w:pStyle w:val="24"/>
        <w:spacing w:line="360" w:lineRule="auto"/>
        <w:ind w:firstLine="480"/>
        <w:rPr>
          <w:rFonts w:ascii="Times New Roman"/>
          <w:color w:val="000000"/>
          <w:sz w:val="24"/>
          <w:szCs w:val="24"/>
        </w:rPr>
      </w:pPr>
      <w:r>
        <w:rPr>
          <w:rFonts w:ascii="Times New Roman"/>
          <w:color w:val="000000"/>
          <w:sz w:val="24"/>
          <w:szCs w:val="24"/>
        </w:rPr>
        <w:t>7）光照强度（可选）为2勒克斯；</w:t>
      </w:r>
    </w:p>
    <w:p w14:paraId="2C86FC28">
      <w:pPr>
        <w:pStyle w:val="24"/>
        <w:spacing w:line="360" w:lineRule="auto"/>
        <w:ind w:firstLine="480"/>
        <w:rPr>
          <w:rFonts w:ascii="Times New Roman"/>
          <w:color w:val="000000"/>
          <w:sz w:val="24"/>
          <w:szCs w:val="24"/>
        </w:rPr>
      </w:pPr>
      <w:r>
        <w:rPr>
          <w:rFonts w:ascii="Times New Roman"/>
          <w:color w:val="000000"/>
          <w:sz w:val="24"/>
          <w:szCs w:val="24"/>
        </w:rPr>
        <w:t>8）初始观测距离（可选）为距离观测样本约1.5米到2米。</w:t>
      </w:r>
    </w:p>
    <w:p w14:paraId="518442A7">
      <w:pPr>
        <w:pStyle w:val="24"/>
        <w:spacing w:line="360" w:lineRule="auto"/>
        <w:ind w:firstLine="480"/>
        <w:rPr>
          <w:rFonts w:ascii="Times New Roman"/>
          <w:color w:val="000000"/>
          <w:sz w:val="24"/>
          <w:szCs w:val="24"/>
        </w:rPr>
      </w:pPr>
      <w:r>
        <w:rPr>
          <w:rFonts w:ascii="Times New Roman"/>
          <w:color w:val="000000"/>
          <w:sz w:val="24"/>
          <w:szCs w:val="24"/>
        </w:rPr>
        <w:t>VR环境下的显示器技术及参数值需满足以下条件：</w:t>
      </w:r>
    </w:p>
    <w:p w14:paraId="59FDDC61">
      <w:pPr>
        <w:pStyle w:val="24"/>
        <w:spacing w:line="360" w:lineRule="auto"/>
        <w:ind w:firstLine="480"/>
        <w:rPr>
          <w:rFonts w:ascii="Times New Roman"/>
          <w:color w:val="000000"/>
          <w:sz w:val="24"/>
          <w:szCs w:val="24"/>
        </w:rPr>
      </w:pPr>
      <w:r>
        <w:rPr>
          <w:rFonts w:ascii="Times New Roman"/>
          <w:color w:val="000000"/>
          <w:sz w:val="24"/>
          <w:szCs w:val="24"/>
        </w:rPr>
        <w:t>1）</w:t>
      </w:r>
      <w:r>
        <w:rPr>
          <w:rFonts w:ascii="Times New Roman"/>
          <w:color w:val="000000"/>
          <w:sz w:val="24"/>
          <w:szCs w:val="24"/>
        </w:rPr>
        <w:tab/>
      </w:r>
      <w:r>
        <w:rPr>
          <w:rFonts w:ascii="Times New Roman"/>
          <w:color w:val="000000"/>
          <w:sz w:val="24"/>
          <w:szCs w:val="24"/>
        </w:rPr>
        <w:t>分辨率要求单眼水平分辨率1920像素及以上，单眼垂直分辨率1080像素及以上；</w:t>
      </w:r>
    </w:p>
    <w:p w14:paraId="7AFC5BA9">
      <w:pPr>
        <w:pStyle w:val="24"/>
        <w:spacing w:line="360" w:lineRule="auto"/>
        <w:ind w:firstLine="480"/>
        <w:rPr>
          <w:rFonts w:ascii="Times New Roman"/>
          <w:color w:val="000000"/>
          <w:sz w:val="24"/>
          <w:szCs w:val="24"/>
        </w:rPr>
      </w:pPr>
      <w:r>
        <w:rPr>
          <w:rFonts w:ascii="Times New Roman"/>
          <w:color w:val="000000"/>
          <w:sz w:val="24"/>
          <w:szCs w:val="24"/>
        </w:rPr>
        <w:t>2）PPD要求20像素及以上；</w:t>
      </w:r>
    </w:p>
    <w:p w14:paraId="3E556E36">
      <w:pPr>
        <w:pStyle w:val="24"/>
        <w:spacing w:line="360" w:lineRule="auto"/>
        <w:ind w:firstLine="480"/>
        <w:rPr>
          <w:rFonts w:ascii="Times New Roman"/>
          <w:color w:val="000000"/>
          <w:sz w:val="24"/>
          <w:szCs w:val="24"/>
        </w:rPr>
      </w:pPr>
      <w:r>
        <w:rPr>
          <w:rFonts w:ascii="Times New Roman"/>
          <w:color w:val="000000"/>
          <w:sz w:val="24"/>
          <w:szCs w:val="24"/>
        </w:rPr>
        <w:t>3）刷新率要求90赫兹及以上；</w:t>
      </w:r>
    </w:p>
    <w:p w14:paraId="6E71E535">
      <w:pPr>
        <w:pStyle w:val="24"/>
        <w:spacing w:line="360" w:lineRule="auto"/>
        <w:ind w:firstLine="480"/>
        <w:rPr>
          <w:rFonts w:ascii="Times New Roman"/>
          <w:color w:val="000000"/>
          <w:sz w:val="24"/>
          <w:szCs w:val="24"/>
        </w:rPr>
      </w:pPr>
      <w:r>
        <w:rPr>
          <w:rFonts w:ascii="Times New Roman"/>
          <w:color w:val="000000"/>
          <w:sz w:val="24"/>
          <w:szCs w:val="24"/>
        </w:rPr>
        <w:t>4）视场角要求90度及以上。</w:t>
      </w:r>
    </w:p>
    <w:p w14:paraId="2273090F">
      <w:pPr>
        <w:spacing w:line="360" w:lineRule="auto"/>
        <w:ind w:firstLine="420"/>
        <w:rPr>
          <w:szCs w:val="21"/>
          <w:lang w:val="en-GB"/>
        </w:rPr>
      </w:pPr>
      <w:r>
        <w:rPr>
          <w:color w:val="000000"/>
          <w:sz w:val="24"/>
        </w:rPr>
        <w:t>该实验环境下测试人员、观看员的选取原则与基于二维渲染视频的方法一</w:t>
      </w:r>
      <w:r>
        <w:rPr>
          <w:color w:val="000000"/>
          <w:kern w:val="0"/>
          <w:sz w:val="24"/>
        </w:rPr>
        <w:t>致。在正式实验开始之前，测试人员通过观看训练样本来熟悉VR环境及样本特性，包括适应三维渲染方式、了解评价方法、点云样本失真类型、失真程度以及观看时长。训练时不应出现影响评分结果的暗示，且训练阶段选用的点云不能是正式主观实验评估中的点云。展示训练样本（示范序列）后，允许观看员进行提问，后进行正式实验，其流程如</w:t>
      </w:r>
      <w:r>
        <w:rPr>
          <w:color w:val="000000"/>
          <w:kern w:val="0"/>
          <w:sz w:val="24"/>
        </w:rPr>
        <w:fldChar w:fldCharType="begin"/>
      </w:r>
      <w:r>
        <w:rPr>
          <w:color w:val="000000"/>
          <w:kern w:val="0"/>
          <w:sz w:val="24"/>
        </w:rPr>
        <w:instrText xml:space="preserve"> REF _Ref122613210 \r \h  \* MERGEFORMAT </w:instrText>
      </w:r>
      <w:r>
        <w:rPr>
          <w:color w:val="000000"/>
          <w:kern w:val="0"/>
          <w:sz w:val="24"/>
        </w:rPr>
        <w:fldChar w:fldCharType="separate"/>
      </w:r>
      <w:r>
        <w:rPr>
          <w:color w:val="000000"/>
          <w:kern w:val="0"/>
          <w:sz w:val="24"/>
        </w:rPr>
        <w:t>图3</w:t>
      </w:r>
      <w:r>
        <w:rPr>
          <w:color w:val="000000"/>
          <w:kern w:val="0"/>
          <w:sz w:val="24"/>
        </w:rPr>
        <w:fldChar w:fldCharType="end"/>
      </w:r>
      <w:r>
        <w:rPr>
          <w:color w:val="000000"/>
          <w:kern w:val="0"/>
          <w:sz w:val="24"/>
        </w:rPr>
        <w:t>。</w:t>
      </w:r>
    </w:p>
    <w:p w14:paraId="322F4005">
      <w:pPr>
        <w:pStyle w:val="33"/>
        <w:spacing w:before="60" w:beforeAutospacing="0" w:after="60" w:afterAutospacing="0" w:line="20" w:lineRule="atLeast"/>
        <w:jc w:val="center"/>
        <w:rPr>
          <w:rFonts w:ascii="Times New Roman" w:hAnsi="Times New Roman" w:cs="Times New Roman"/>
          <w:color w:val="000000"/>
          <w:sz w:val="27"/>
          <w:szCs w:val="27"/>
        </w:rPr>
      </w:pPr>
      <w:r>
        <w:rPr>
          <w:rFonts w:ascii="Times New Roman" w:hAnsi="Times New Roman" w:cs="Times New Roman"/>
          <w:color w:val="000000"/>
          <w:sz w:val="27"/>
          <w:szCs w:val="27"/>
        </w:rPr>
        <w:fldChar w:fldCharType="begin"/>
      </w:r>
      <w:r>
        <w:rPr>
          <w:rFonts w:ascii="Times New Roman" w:hAnsi="Times New Roman" w:cs="Times New Roman"/>
          <w:color w:val="000000"/>
          <w:sz w:val="27"/>
          <w:szCs w:val="27"/>
        </w:rPr>
        <w:instrText xml:space="preserve"> INCLUDEPICTURE "https://docimg7.docs.qq.com/image/uoPvYXPU1Rc1n45i-JNfHA.png?w=595&amp;h=215" \* MERGEFORMATINET </w:instrText>
      </w:r>
      <w:r>
        <w:rPr>
          <w:rFonts w:ascii="Times New Roman" w:hAnsi="Times New Roman" w:cs="Times New Roman"/>
          <w:color w:val="000000"/>
          <w:sz w:val="27"/>
          <w:szCs w:val="27"/>
        </w:rPr>
        <w:fldChar w:fldCharType="separate"/>
      </w:r>
      <w:r>
        <w:rPr>
          <w:rFonts w:ascii="Times New Roman" w:hAnsi="Times New Roman" w:cs="Times New Roman"/>
          <w:color w:val="000000"/>
          <w:sz w:val="27"/>
          <w:szCs w:val="27"/>
        </w:rPr>
        <w:drawing>
          <wp:inline distT="0" distB="0" distL="0" distR="0">
            <wp:extent cx="3289935" cy="1192530"/>
            <wp:effectExtent l="0" t="0" r="0" b="0"/>
            <wp:docPr id="3" name="图片 37" descr="形状&#10;&#10;中度可信度描述已自动生成"/>
            <wp:cNvGraphicFramePr/>
            <a:graphic xmlns:a="http://schemas.openxmlformats.org/drawingml/2006/main">
              <a:graphicData uri="http://schemas.openxmlformats.org/drawingml/2006/picture">
                <pic:pic xmlns:pic="http://schemas.openxmlformats.org/drawingml/2006/picture">
                  <pic:nvPicPr>
                    <pic:cNvPr id="3" name="图片 37" descr="形状&#10;&#10;中度可信度描述已自动生成"/>
                    <pic:cNvPicPr/>
                  </pic:nvPicPr>
                  <pic:blipFill>
                    <a:blip r:embed="rId7">
                      <a:extLst>
                        <a:ext uri="{28A0092B-C50C-407E-A947-70E740481C1C}">
                          <a14:useLocalDpi xmlns:a14="http://schemas.microsoft.com/office/drawing/2010/main" val="0"/>
                        </a:ext>
                      </a:extLst>
                    </a:blip>
                    <a:srcRect/>
                    <a:stretch>
                      <a:fillRect/>
                    </a:stretch>
                  </pic:blipFill>
                  <pic:spPr>
                    <a:xfrm>
                      <a:off x="0" y="0"/>
                      <a:ext cx="3289935" cy="1192530"/>
                    </a:xfrm>
                    <a:prstGeom prst="rect">
                      <a:avLst/>
                    </a:prstGeom>
                    <a:noFill/>
                    <a:ln>
                      <a:noFill/>
                    </a:ln>
                  </pic:spPr>
                </pic:pic>
              </a:graphicData>
            </a:graphic>
          </wp:inline>
        </w:drawing>
      </w:r>
      <w:r>
        <w:rPr>
          <w:rFonts w:ascii="Times New Roman" w:hAnsi="Times New Roman" w:cs="Times New Roman"/>
          <w:color w:val="000000"/>
          <w:sz w:val="27"/>
          <w:szCs w:val="27"/>
        </w:rPr>
        <w:fldChar w:fldCharType="end"/>
      </w:r>
    </w:p>
    <w:p w14:paraId="59B7C2CD">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r>
        <w:rPr>
          <w:rFonts w:ascii="Times New Roman" w:hAnsi="Times New Roman" w:eastAsia="黑体" w:cs="Times New Roman"/>
          <w:color w:val="000000"/>
          <w:sz w:val="21"/>
          <w:szCs w:val="21"/>
        </w:rPr>
        <w:t xml:space="preserve"> </w:t>
      </w:r>
      <w:bookmarkStart w:id="2" w:name="_Ref122613210"/>
      <w:r>
        <w:rPr>
          <w:rFonts w:ascii="Times New Roman" w:hAnsi="Times New Roman" w:eastAsia="黑体" w:cs="Times New Roman"/>
          <w:color w:val="000000"/>
          <w:sz w:val="21"/>
          <w:szCs w:val="21"/>
        </w:rPr>
        <w:t>训练阶段评价周期显示流程</w:t>
      </w:r>
      <w:bookmarkEnd w:id="2"/>
    </w:p>
    <w:p w14:paraId="79B91B25">
      <w:pPr>
        <w:spacing w:line="360" w:lineRule="auto"/>
        <w:ind w:firstLine="420"/>
        <w:rPr>
          <w:color w:val="000000"/>
          <w:sz w:val="24"/>
        </w:rPr>
      </w:pPr>
      <w:r>
        <w:rPr>
          <w:color w:val="000000"/>
          <w:sz w:val="24"/>
        </w:rPr>
        <w:t>本方案下一个评价周期由多次演示组成。每一次演示时，首先同时显示参考点云和失真点云，无时间限制。观看员得出相应判断后，要求观看员根据参考点云对失真点云损伤程度进行评分。每一次演示前，观看员回到初始推荐观看位置。</w:t>
      </w:r>
    </w:p>
    <w:p w14:paraId="4D535121">
      <w:pPr>
        <w:spacing w:line="360" w:lineRule="auto"/>
        <w:ind w:firstLine="420"/>
        <w:rPr>
          <w:color w:val="000000"/>
          <w:sz w:val="24"/>
        </w:rPr>
      </w:pPr>
      <w:r>
        <w:rPr>
          <w:color w:val="000000"/>
          <w:sz w:val="24"/>
        </w:rPr>
        <w:fldChar w:fldCharType="begin"/>
      </w:r>
      <w:r>
        <w:rPr>
          <w:color w:val="000000"/>
          <w:sz w:val="24"/>
        </w:rPr>
        <w:instrText xml:space="preserve"> REF _Ref122613534 \r \h  \* MERGEFORMAT </w:instrText>
      </w:r>
      <w:r>
        <w:rPr>
          <w:color w:val="000000"/>
          <w:sz w:val="24"/>
        </w:rPr>
        <w:fldChar w:fldCharType="separate"/>
      </w:r>
      <w:r>
        <w:rPr>
          <w:color w:val="000000"/>
          <w:sz w:val="24"/>
        </w:rPr>
        <w:t>图4</w:t>
      </w:r>
      <w:r>
        <w:rPr>
          <w:color w:val="000000"/>
          <w:sz w:val="24"/>
        </w:rPr>
        <w:fldChar w:fldCharType="end"/>
      </w:r>
      <w:r>
        <w:rPr>
          <w:color w:val="000000"/>
          <w:sz w:val="24"/>
        </w:rPr>
        <w:t>表示实验流程，参考点云（信号A）和失真点云（信号B）位置固定，并提前告知观看员哪一个是参考点云和哪一个是失真点云，如</w:t>
      </w:r>
      <w:r>
        <w:rPr>
          <w:color w:val="000000"/>
          <w:sz w:val="24"/>
        </w:rPr>
        <w:fldChar w:fldCharType="begin"/>
      </w:r>
      <w:r>
        <w:rPr>
          <w:color w:val="000000"/>
          <w:sz w:val="24"/>
        </w:rPr>
        <w:instrText xml:space="preserve"> REF _Ref122613550 \r \h  \* MERGEFORMAT </w:instrText>
      </w:r>
      <w:r>
        <w:rPr>
          <w:color w:val="000000"/>
          <w:sz w:val="24"/>
        </w:rPr>
        <w:fldChar w:fldCharType="separate"/>
      </w:r>
      <w:r>
        <w:rPr>
          <w:color w:val="000000"/>
          <w:sz w:val="24"/>
        </w:rPr>
        <w:t>图5</w:t>
      </w:r>
      <w:r>
        <w:rPr>
          <w:color w:val="000000"/>
          <w:sz w:val="24"/>
        </w:rPr>
        <w:fldChar w:fldCharType="end"/>
      </w:r>
      <w:r>
        <w:rPr>
          <w:color w:val="000000"/>
          <w:sz w:val="24"/>
        </w:rPr>
        <w:t>所示。灰场为没有参考和失真点云显示的50%灰场景信号，与环境背景相同。参考点云可以包含在待测样本中作为隐参考。</w:t>
      </w:r>
    </w:p>
    <w:p w14:paraId="105C2E0A">
      <w:pPr>
        <w:pStyle w:val="33"/>
        <w:spacing w:before="0" w:beforeAutospacing="0" w:after="0" w:afterAutospacing="0" w:line="15" w:lineRule="atLeast"/>
        <w:jc w:val="center"/>
        <w:rPr>
          <w:rFonts w:ascii="Times New Roman" w:hAnsi="Times New Roman" w:cs="Times New Roman"/>
          <w:color w:val="000000"/>
          <w:sz w:val="27"/>
          <w:szCs w:val="27"/>
        </w:rPr>
      </w:pPr>
      <w:r>
        <w:rPr>
          <w:rFonts w:ascii="Times New Roman" w:hAnsi="Times New Roman" w:cs="Times New Roman"/>
          <w:color w:val="000000"/>
          <w:sz w:val="27"/>
          <w:szCs w:val="27"/>
        </w:rPr>
        <w:fldChar w:fldCharType="begin"/>
      </w:r>
      <w:r>
        <w:rPr>
          <w:rFonts w:ascii="Times New Roman" w:hAnsi="Times New Roman" w:cs="Times New Roman"/>
          <w:color w:val="000000"/>
          <w:sz w:val="27"/>
          <w:szCs w:val="27"/>
        </w:rPr>
        <w:instrText xml:space="preserve"> INCLUDEPICTURE "https://docimg3.docs.qq.com/image/mF33jiK-WybF_DtZOpIEyA.png?w=595&amp;h=153" \* MERGEFORMATINET </w:instrText>
      </w:r>
      <w:r>
        <w:rPr>
          <w:rFonts w:ascii="Times New Roman" w:hAnsi="Times New Roman" w:cs="Times New Roman"/>
          <w:color w:val="000000"/>
          <w:sz w:val="27"/>
          <w:szCs w:val="27"/>
        </w:rPr>
        <w:fldChar w:fldCharType="separate"/>
      </w:r>
      <w:r>
        <w:rPr>
          <w:rFonts w:ascii="Times New Roman" w:hAnsi="Times New Roman" w:cs="Times New Roman"/>
          <w:color w:val="000000"/>
          <w:sz w:val="27"/>
          <w:szCs w:val="27"/>
        </w:rPr>
        <w:drawing>
          <wp:inline distT="0" distB="0" distL="0" distR="0">
            <wp:extent cx="3784600" cy="980440"/>
            <wp:effectExtent l="0" t="0" r="0" b="0"/>
            <wp:docPr id="4" name="图片 38" descr="形状&#10;&#10;中度可信度描述已自动生成"/>
            <wp:cNvGraphicFramePr/>
            <a:graphic xmlns:a="http://schemas.openxmlformats.org/drawingml/2006/main">
              <a:graphicData uri="http://schemas.openxmlformats.org/drawingml/2006/picture">
                <pic:pic xmlns:pic="http://schemas.openxmlformats.org/drawingml/2006/picture">
                  <pic:nvPicPr>
                    <pic:cNvPr id="4" name="图片 38" descr="形状&#10;&#10;中度可信度描述已自动生成"/>
                    <pic:cNvPicPr/>
                  </pic:nvPicPr>
                  <pic:blipFill>
                    <a:blip r:embed="rId8">
                      <a:extLst>
                        <a:ext uri="{28A0092B-C50C-407E-A947-70E740481C1C}">
                          <a14:useLocalDpi xmlns:a14="http://schemas.microsoft.com/office/drawing/2010/main" val="0"/>
                        </a:ext>
                      </a:extLst>
                    </a:blip>
                    <a:srcRect/>
                    <a:stretch>
                      <a:fillRect/>
                    </a:stretch>
                  </pic:blipFill>
                  <pic:spPr>
                    <a:xfrm>
                      <a:off x="0" y="0"/>
                      <a:ext cx="3784600" cy="980440"/>
                    </a:xfrm>
                    <a:prstGeom prst="rect">
                      <a:avLst/>
                    </a:prstGeom>
                    <a:noFill/>
                    <a:ln>
                      <a:noFill/>
                    </a:ln>
                  </pic:spPr>
                </pic:pic>
              </a:graphicData>
            </a:graphic>
          </wp:inline>
        </w:drawing>
      </w:r>
      <w:r>
        <w:rPr>
          <w:rFonts w:ascii="Times New Roman" w:hAnsi="Times New Roman" w:cs="Times New Roman"/>
          <w:color w:val="000000"/>
          <w:sz w:val="27"/>
          <w:szCs w:val="27"/>
        </w:rPr>
        <w:fldChar w:fldCharType="end"/>
      </w:r>
    </w:p>
    <w:p w14:paraId="3B5F0150">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bookmarkStart w:id="3" w:name="_Ref122613534"/>
      <w:r>
        <w:rPr>
          <w:rFonts w:ascii="Times New Roman" w:hAnsi="Times New Roman" w:eastAsia="黑体" w:cs="Times New Roman"/>
          <w:color w:val="000000"/>
          <w:sz w:val="21"/>
          <w:szCs w:val="21"/>
        </w:rPr>
        <w:t>同时显示的多刺激连续质量标度法</w:t>
      </w:r>
      <w:bookmarkEnd w:id="3"/>
    </w:p>
    <w:p w14:paraId="46C21F12">
      <w:pPr>
        <w:pStyle w:val="33"/>
        <w:spacing w:before="0" w:beforeAutospacing="0" w:after="0" w:afterAutospacing="0" w:line="15" w:lineRule="atLeast"/>
        <w:jc w:val="center"/>
        <w:rPr>
          <w:rFonts w:ascii="Times New Roman" w:hAnsi="Times New Roman" w:cs="Times New Roman"/>
          <w:color w:val="000000"/>
          <w:sz w:val="27"/>
          <w:szCs w:val="27"/>
        </w:rPr>
      </w:pPr>
      <w:r>
        <w:rPr>
          <w:rFonts w:ascii="Times New Roman" w:hAnsi="Times New Roman" w:cs="Times New Roman"/>
          <w:color w:val="000000"/>
          <w:sz w:val="27"/>
          <w:szCs w:val="27"/>
        </w:rPr>
        <w:fldChar w:fldCharType="begin"/>
      </w:r>
      <w:r>
        <w:rPr>
          <w:rFonts w:ascii="Times New Roman" w:hAnsi="Times New Roman" w:cs="Times New Roman"/>
          <w:color w:val="000000"/>
          <w:sz w:val="27"/>
          <w:szCs w:val="27"/>
        </w:rPr>
        <w:instrText xml:space="preserve"> INCLUDEPICTURE "https://docimg2.docs.qq.com/image/JqBICEuysalVb3otHtOlhw.png?w=688&amp;h=486" \* MERGEFORMATINET </w:instrText>
      </w:r>
      <w:r>
        <w:rPr>
          <w:rFonts w:ascii="Times New Roman" w:hAnsi="Times New Roman" w:cs="Times New Roman"/>
          <w:color w:val="000000"/>
          <w:sz w:val="27"/>
          <w:szCs w:val="27"/>
        </w:rPr>
        <w:fldChar w:fldCharType="separate"/>
      </w:r>
      <w:r>
        <w:rPr>
          <w:rFonts w:ascii="Times New Roman" w:hAnsi="Times New Roman" w:cs="Times New Roman"/>
          <w:color w:val="000000"/>
          <w:sz w:val="27"/>
          <w:szCs w:val="27"/>
        </w:rPr>
        <w:drawing>
          <wp:inline distT="0" distB="0" distL="0" distR="0">
            <wp:extent cx="1993900" cy="1409065"/>
            <wp:effectExtent l="0" t="0" r="0" b="0"/>
            <wp:docPr id="5" name="图片 39" descr="图片包含 游戏机, 桌子&#10;&#10;描述已自动生成"/>
            <wp:cNvGraphicFramePr/>
            <a:graphic xmlns:a="http://schemas.openxmlformats.org/drawingml/2006/main">
              <a:graphicData uri="http://schemas.openxmlformats.org/drawingml/2006/picture">
                <pic:pic xmlns:pic="http://schemas.openxmlformats.org/drawingml/2006/picture">
                  <pic:nvPicPr>
                    <pic:cNvPr id="5" name="图片 39" descr="图片包含 游戏机, 桌子&#10;&#10;描述已自动生成"/>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993900" cy="1409065"/>
                    </a:xfrm>
                    <a:prstGeom prst="rect">
                      <a:avLst/>
                    </a:prstGeom>
                    <a:noFill/>
                    <a:ln>
                      <a:noFill/>
                    </a:ln>
                  </pic:spPr>
                </pic:pic>
              </a:graphicData>
            </a:graphic>
          </wp:inline>
        </w:drawing>
      </w:r>
      <w:r>
        <w:rPr>
          <w:rFonts w:ascii="Times New Roman" w:hAnsi="Times New Roman" w:cs="Times New Roman"/>
          <w:color w:val="000000"/>
          <w:sz w:val="27"/>
          <w:szCs w:val="27"/>
        </w:rPr>
        <w:fldChar w:fldCharType="end"/>
      </w:r>
    </w:p>
    <w:p w14:paraId="202EDA8B">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r>
        <w:rPr>
          <w:rFonts w:ascii="Times New Roman" w:hAnsi="Times New Roman" w:eastAsia="黑体" w:cs="Times New Roman"/>
          <w:color w:val="000000"/>
          <w:sz w:val="21"/>
          <w:szCs w:val="21"/>
        </w:rPr>
        <w:t xml:space="preserve"> </w:t>
      </w:r>
      <w:bookmarkStart w:id="4" w:name="_Ref122613550"/>
      <w:r>
        <w:rPr>
          <w:rFonts w:ascii="Times New Roman" w:hAnsi="Times New Roman" w:eastAsia="黑体" w:cs="Times New Roman"/>
          <w:color w:val="000000"/>
          <w:sz w:val="21"/>
          <w:szCs w:val="21"/>
        </w:rPr>
        <w:t>固定位置的参考点云与失真点云测试演示</w:t>
      </w:r>
      <w:bookmarkEnd w:id="4"/>
    </w:p>
    <w:p w14:paraId="4082DAA4">
      <w:pPr>
        <w:spacing w:line="360" w:lineRule="auto"/>
        <w:ind w:firstLine="420"/>
        <w:rPr>
          <w:color w:val="000000"/>
          <w:sz w:val="24"/>
        </w:rPr>
      </w:pPr>
      <w:r>
        <w:rPr>
          <w:color w:val="000000"/>
          <w:sz w:val="24"/>
        </w:rPr>
        <w:t>由于固定参考和失真点云的演示位置，观看员同时观看二者可能出现距离和角度偏差。在不考虑渲染效果和测试者的不适感等情况下，宜采取</w:t>
      </w:r>
      <w:r>
        <w:rPr>
          <w:color w:val="000000"/>
          <w:sz w:val="24"/>
        </w:rPr>
        <w:fldChar w:fldCharType="begin"/>
      </w:r>
      <w:r>
        <w:rPr>
          <w:color w:val="000000"/>
          <w:sz w:val="24"/>
        </w:rPr>
        <w:instrText xml:space="preserve"> REF _Ref122613562 \r \h  \* MERGEFORMAT </w:instrText>
      </w:r>
      <w:r>
        <w:rPr>
          <w:color w:val="000000"/>
          <w:sz w:val="24"/>
        </w:rPr>
        <w:fldChar w:fldCharType="separate"/>
      </w:r>
      <w:r>
        <w:rPr>
          <w:color w:val="000000"/>
          <w:sz w:val="24"/>
        </w:rPr>
        <w:t>图6</w:t>
      </w:r>
      <w:r>
        <w:rPr>
          <w:color w:val="000000"/>
          <w:sz w:val="24"/>
        </w:rPr>
        <w:fldChar w:fldCharType="end"/>
      </w:r>
      <w:r>
        <w:rPr>
          <w:color w:val="000000"/>
          <w:sz w:val="24"/>
        </w:rPr>
        <w:t>所示演示方案。</w:t>
      </w:r>
    </w:p>
    <w:p w14:paraId="770A9EBD">
      <w:pPr>
        <w:pStyle w:val="33"/>
        <w:spacing w:before="60" w:beforeAutospacing="0" w:after="60" w:afterAutospacing="0" w:line="15" w:lineRule="atLeast"/>
        <w:jc w:val="center"/>
        <w:rPr>
          <w:rFonts w:ascii="Times New Roman" w:hAnsi="Times New Roman" w:cs="Times New Roman"/>
          <w:color w:val="000000"/>
          <w:sz w:val="27"/>
          <w:szCs w:val="27"/>
        </w:rPr>
      </w:pPr>
      <w:r>
        <w:rPr>
          <w:rFonts w:ascii="Times New Roman" w:hAnsi="Times New Roman" w:cs="Times New Roman"/>
          <w:color w:val="000000"/>
          <w:sz w:val="27"/>
          <w:szCs w:val="27"/>
        </w:rPr>
        <w:fldChar w:fldCharType="begin"/>
      </w:r>
      <w:r>
        <w:rPr>
          <w:rFonts w:ascii="Times New Roman" w:hAnsi="Times New Roman" w:cs="Times New Roman"/>
          <w:color w:val="000000"/>
          <w:sz w:val="27"/>
          <w:szCs w:val="27"/>
        </w:rPr>
        <w:instrText xml:space="preserve"> INCLUDEPICTURE "https://docimg5.docs.qq.com/image/SjyVQ4hDVQk-bL-oNkbAtg.png?w=1044&amp;h=520" \* MERGEFORMATINET </w:instrText>
      </w:r>
      <w:r>
        <w:rPr>
          <w:rFonts w:ascii="Times New Roman" w:hAnsi="Times New Roman" w:cs="Times New Roman"/>
          <w:color w:val="000000"/>
          <w:sz w:val="27"/>
          <w:szCs w:val="27"/>
        </w:rPr>
        <w:fldChar w:fldCharType="separate"/>
      </w:r>
      <w:r>
        <w:rPr>
          <w:rFonts w:ascii="Times New Roman" w:hAnsi="Times New Roman" w:cs="Times New Roman"/>
          <w:color w:val="000000"/>
          <w:sz w:val="27"/>
          <w:szCs w:val="27"/>
        </w:rPr>
        <w:drawing>
          <wp:inline distT="0" distB="0" distL="0" distR="0">
            <wp:extent cx="4143375" cy="2054860"/>
            <wp:effectExtent l="0" t="0" r="0" b="0"/>
            <wp:docPr id="6" name="图片 61" descr="图表, 雷达图&#10;&#10;描述已自动生成"/>
            <wp:cNvGraphicFramePr/>
            <a:graphic xmlns:a="http://schemas.openxmlformats.org/drawingml/2006/main">
              <a:graphicData uri="http://schemas.openxmlformats.org/drawingml/2006/picture">
                <pic:pic xmlns:pic="http://schemas.openxmlformats.org/drawingml/2006/picture">
                  <pic:nvPicPr>
                    <pic:cNvPr id="6" name="图片 61" descr="图表, 雷达图&#10;&#10;描述已自动生成"/>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143375" cy="2054860"/>
                    </a:xfrm>
                    <a:prstGeom prst="rect">
                      <a:avLst/>
                    </a:prstGeom>
                    <a:noFill/>
                    <a:ln>
                      <a:noFill/>
                    </a:ln>
                  </pic:spPr>
                </pic:pic>
              </a:graphicData>
            </a:graphic>
          </wp:inline>
        </w:drawing>
      </w:r>
      <w:r>
        <w:rPr>
          <w:rFonts w:ascii="Times New Roman" w:hAnsi="Times New Roman" w:cs="Times New Roman"/>
          <w:color w:val="000000"/>
          <w:sz w:val="27"/>
          <w:szCs w:val="27"/>
        </w:rPr>
        <w:fldChar w:fldCharType="end"/>
      </w:r>
    </w:p>
    <w:p w14:paraId="6D78BEB4">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r>
        <w:rPr>
          <w:rFonts w:ascii="Times New Roman" w:hAnsi="Times New Roman" w:eastAsia="黑体" w:cs="Times New Roman"/>
          <w:color w:val="000000"/>
          <w:sz w:val="21"/>
          <w:szCs w:val="21"/>
        </w:rPr>
        <w:t xml:space="preserve"> </w:t>
      </w:r>
      <w:bookmarkStart w:id="5" w:name="_Ref122613562"/>
      <w:r>
        <w:rPr>
          <w:rFonts w:ascii="Times New Roman" w:hAnsi="Times New Roman" w:eastAsia="黑体" w:cs="Times New Roman"/>
          <w:color w:val="000000"/>
          <w:sz w:val="21"/>
          <w:szCs w:val="21"/>
        </w:rPr>
        <w:t>参考点云与失真点云理想显示方案</w:t>
      </w:r>
      <w:bookmarkEnd w:id="5"/>
    </w:p>
    <w:p w14:paraId="6D950500">
      <w:pPr>
        <w:spacing w:line="360" w:lineRule="auto"/>
        <w:ind w:firstLine="420"/>
        <w:rPr>
          <w:color w:val="000000"/>
          <w:sz w:val="24"/>
        </w:rPr>
      </w:pPr>
      <w:r>
        <w:rPr>
          <w:color w:val="000000"/>
          <w:sz w:val="24"/>
        </w:rPr>
        <w:t>失真点云位置和角度固定，参考点云和失真点云之间的相对距离固定，根据观看员与失真点云的相对距离和角度，参考点云实时改变位置和角度，因此观看员可以从相同距离和角度同时观看参考和失真点云。如</w:t>
      </w:r>
      <w:r>
        <w:rPr>
          <w:color w:val="000000"/>
          <w:sz w:val="24"/>
        </w:rPr>
        <w:fldChar w:fldCharType="begin"/>
      </w:r>
      <w:r>
        <w:rPr>
          <w:color w:val="000000"/>
          <w:sz w:val="24"/>
        </w:rPr>
        <w:instrText xml:space="preserve"> REF _Ref122613562 \r \h  \* MERGEFORMAT </w:instrText>
      </w:r>
      <w:r>
        <w:rPr>
          <w:color w:val="000000"/>
          <w:sz w:val="24"/>
        </w:rPr>
        <w:fldChar w:fldCharType="separate"/>
      </w:r>
      <w:r>
        <w:rPr>
          <w:color w:val="000000"/>
          <w:sz w:val="24"/>
        </w:rPr>
        <w:t>图6</w:t>
      </w:r>
      <w:r>
        <w:rPr>
          <w:color w:val="000000"/>
          <w:sz w:val="24"/>
        </w:rPr>
        <w:fldChar w:fldCharType="end"/>
      </w:r>
      <w:r>
        <w:rPr>
          <w:color w:val="000000"/>
          <w:sz w:val="24"/>
        </w:rPr>
        <w:t>，失真点云位置为</w:t>
      </w:r>
      <m:oMath>
        <m:r>
          <m:rPr>
            <m:sty m:val="p"/>
          </m:rPr>
          <w:rPr>
            <w:rFonts w:ascii="Cambria Math" w:hAnsi="Cambria Math"/>
            <w:color w:val="000000"/>
            <w:sz w:val="24"/>
          </w:rPr>
          <m:t>(0,0)</m:t>
        </m:r>
      </m:oMath>
      <w:r>
        <w:rPr>
          <w:color w:val="000000"/>
          <w:sz w:val="24"/>
        </w:rPr>
        <w:t>，观看员位置为</w:t>
      </w:r>
      <m:oMath>
        <m:r>
          <m:rPr>
            <m:sty m:val="p"/>
          </m:rPr>
          <w:rPr>
            <w:rFonts w:ascii="Cambria Math" w:hAnsi="Cambria Math"/>
            <w:color w:val="000000"/>
            <w:sz w:val="24"/>
          </w:rPr>
          <m:t>(</m:t>
        </m:r>
        <m:sSub>
          <m:sSubPr>
            <m:ctrlPr>
              <w:rPr>
                <w:rFonts w:ascii="Cambria Math" w:hAnsi="Cambria Math"/>
                <w:color w:val="000000"/>
                <w:sz w:val="24"/>
              </w:rPr>
            </m:ctrlPr>
          </m:sSubPr>
          <m:e>
            <m:r>
              <m:rPr/>
              <w:rPr>
                <w:rFonts w:ascii="Cambria Math" w:hAnsi="Cambria Math"/>
                <w:color w:val="000000"/>
                <w:sz w:val="24"/>
              </w:rPr>
              <m:t>x</m:t>
            </m:r>
            <m:ctrlPr>
              <w:rPr>
                <w:rFonts w:ascii="Cambria Math" w:hAnsi="Cambria Math"/>
                <w:color w:val="000000"/>
                <w:sz w:val="24"/>
              </w:rPr>
            </m:ctrlPr>
          </m:e>
          <m:sub>
            <m:r>
              <m:rPr>
                <m:sty m:val="p"/>
              </m:rPr>
              <w:rPr>
                <w:rFonts w:ascii="Cambria Math" w:hAnsi="Cambria Math"/>
                <w:color w:val="000000"/>
                <w:sz w:val="24"/>
              </w:rPr>
              <m:t>1</m:t>
            </m:r>
            <m:ctrlPr>
              <w:rPr>
                <w:rFonts w:ascii="Cambria Math" w:hAnsi="Cambria Math"/>
                <w:color w:val="000000"/>
                <w:sz w:val="24"/>
              </w:rPr>
            </m:ctrlPr>
          </m:sub>
        </m:sSub>
        <m:r>
          <m:rPr>
            <m:sty m:val="p"/>
          </m:rPr>
          <w:rPr>
            <w:rFonts w:ascii="Cambria Math" w:hAnsi="Cambria Math"/>
            <w:color w:val="000000"/>
            <w:sz w:val="24"/>
          </w:rPr>
          <m:t>,</m:t>
        </m:r>
        <m:sSub>
          <m:sSubPr>
            <m:ctrlPr>
              <w:rPr>
                <w:rFonts w:ascii="Cambria Math" w:hAnsi="Cambria Math"/>
                <w:color w:val="000000"/>
                <w:sz w:val="24"/>
              </w:rPr>
            </m:ctrlPr>
          </m:sSubPr>
          <m:e>
            <m:r>
              <m:rPr/>
              <w:rPr>
                <w:rFonts w:ascii="Cambria Math" w:hAnsi="Cambria Math"/>
                <w:color w:val="000000"/>
                <w:sz w:val="24"/>
              </w:rPr>
              <m:t>y</m:t>
            </m:r>
            <m:ctrlPr>
              <w:rPr>
                <w:rFonts w:ascii="Cambria Math" w:hAnsi="Cambria Math"/>
                <w:color w:val="000000"/>
                <w:sz w:val="24"/>
              </w:rPr>
            </m:ctrlPr>
          </m:e>
          <m:sub>
            <m:r>
              <m:rPr>
                <m:sty m:val="p"/>
              </m:rPr>
              <w:rPr>
                <w:rFonts w:ascii="Cambria Math" w:hAnsi="Cambria Math"/>
                <w:color w:val="000000"/>
                <w:sz w:val="24"/>
              </w:rPr>
              <m:t>1</m:t>
            </m:r>
            <m:ctrlPr>
              <w:rPr>
                <w:rFonts w:ascii="Cambria Math" w:hAnsi="Cambria Math"/>
                <w:color w:val="000000"/>
                <w:sz w:val="24"/>
              </w:rPr>
            </m:ctrlPr>
          </m:sub>
        </m:sSub>
        <m:r>
          <m:rPr>
            <m:sty m:val="p"/>
          </m:rPr>
          <w:rPr>
            <w:rFonts w:ascii="Cambria Math" w:hAnsi="Cambria Math"/>
            <w:color w:val="000000"/>
            <w:sz w:val="24"/>
          </w:rPr>
          <m:t>)</m:t>
        </m:r>
      </m:oMath>
      <w:r>
        <w:rPr>
          <w:color w:val="000000"/>
          <w:sz w:val="24"/>
        </w:rPr>
        <w:t>，参考点云与失真点云之间的距离固定为</w:t>
      </w:r>
      <m:oMath>
        <m:r>
          <m:rPr/>
          <w:rPr>
            <w:rFonts w:ascii="Cambria Math" w:hAnsi="Cambria Math"/>
            <w:color w:val="000000"/>
            <w:sz w:val="24"/>
          </w:rPr>
          <m:t>D</m:t>
        </m:r>
      </m:oMath>
      <w:r>
        <w:rPr>
          <w:color w:val="000000"/>
          <w:sz w:val="24"/>
        </w:rPr>
        <w:t>，要求距离</w:t>
      </w:r>
      <m:oMath>
        <m:r>
          <m:rPr/>
          <w:rPr>
            <w:rFonts w:ascii="Cambria Math" w:hAnsi="Cambria Math"/>
            <w:color w:val="000000"/>
            <w:sz w:val="24"/>
          </w:rPr>
          <m:t>D</m:t>
        </m:r>
      </m:oMath>
      <w:r>
        <w:rPr>
          <w:color w:val="000000"/>
          <w:sz w:val="24"/>
        </w:rPr>
        <w:t>尽量小且保证参考和失真点云不重叠。参考点云位置为</w:t>
      </w:r>
      <m:oMath>
        <m:r>
          <m:rPr>
            <m:sty m:val="p"/>
          </m:rPr>
          <w:rPr>
            <w:rFonts w:ascii="Cambria Math" w:hAnsi="Cambria Math"/>
            <w:color w:val="000000"/>
            <w:sz w:val="24"/>
          </w:rPr>
          <m:t>(</m:t>
        </m:r>
        <m:sSub>
          <m:sSubPr>
            <m:ctrlPr>
              <w:rPr>
                <w:rFonts w:ascii="Cambria Math" w:hAnsi="Cambria Math"/>
                <w:color w:val="000000"/>
                <w:sz w:val="24"/>
              </w:rPr>
            </m:ctrlPr>
          </m:sSubPr>
          <m:e>
            <m:r>
              <m:rPr/>
              <w:rPr>
                <w:rFonts w:ascii="Cambria Math" w:hAnsi="Cambria Math"/>
                <w:color w:val="000000"/>
                <w:sz w:val="24"/>
              </w:rPr>
              <m:t>x</m:t>
            </m:r>
            <m:ctrlPr>
              <w:rPr>
                <w:rFonts w:ascii="Cambria Math" w:hAnsi="Cambria Math"/>
                <w:color w:val="000000"/>
                <w:sz w:val="24"/>
              </w:rPr>
            </m:ctrlPr>
          </m:e>
          <m:sub>
            <m:r>
              <m:rPr>
                <m:sty m:val="p"/>
              </m:rPr>
              <w:rPr>
                <w:rFonts w:ascii="Cambria Math" w:hAnsi="Cambria Math"/>
                <w:color w:val="000000"/>
                <w:sz w:val="24"/>
              </w:rPr>
              <m:t>2</m:t>
            </m:r>
            <m:ctrlPr>
              <w:rPr>
                <w:rFonts w:ascii="Cambria Math" w:hAnsi="Cambria Math"/>
                <w:color w:val="000000"/>
                <w:sz w:val="24"/>
              </w:rPr>
            </m:ctrlPr>
          </m:sub>
        </m:sSub>
        <m:r>
          <m:rPr>
            <m:sty m:val="p"/>
          </m:rPr>
          <w:rPr>
            <w:rFonts w:ascii="Cambria Math" w:hAnsi="Cambria Math"/>
            <w:color w:val="000000"/>
            <w:sz w:val="24"/>
          </w:rPr>
          <m:t>,</m:t>
        </m:r>
        <m:sSub>
          <m:sSubPr>
            <m:ctrlPr>
              <w:rPr>
                <w:rFonts w:ascii="Cambria Math" w:hAnsi="Cambria Math"/>
                <w:color w:val="000000"/>
                <w:sz w:val="24"/>
              </w:rPr>
            </m:ctrlPr>
          </m:sSubPr>
          <m:e>
            <m:r>
              <m:rPr/>
              <w:rPr>
                <w:rFonts w:ascii="Cambria Math" w:hAnsi="Cambria Math"/>
                <w:color w:val="000000"/>
                <w:sz w:val="24"/>
              </w:rPr>
              <m:t>y</m:t>
            </m:r>
            <m:ctrlPr>
              <w:rPr>
                <w:rFonts w:ascii="Cambria Math" w:hAnsi="Cambria Math"/>
                <w:color w:val="000000"/>
                <w:sz w:val="24"/>
              </w:rPr>
            </m:ctrlPr>
          </m:e>
          <m:sub>
            <m:r>
              <m:rPr>
                <m:sty m:val="p"/>
              </m:rPr>
              <w:rPr>
                <w:rFonts w:ascii="Cambria Math" w:hAnsi="Cambria Math"/>
                <w:color w:val="000000"/>
                <w:sz w:val="24"/>
              </w:rPr>
              <m:t>2</m:t>
            </m:r>
            <m:ctrlPr>
              <w:rPr>
                <w:rFonts w:ascii="Cambria Math" w:hAnsi="Cambria Math"/>
                <w:color w:val="000000"/>
                <w:sz w:val="24"/>
              </w:rPr>
            </m:ctrlPr>
          </m:sub>
        </m:sSub>
        <m:r>
          <m:rPr>
            <m:sty m:val="p"/>
          </m:rPr>
          <w:rPr>
            <w:rFonts w:ascii="Cambria Math" w:hAnsi="Cambria Math"/>
            <w:color w:val="000000"/>
            <w:sz w:val="24"/>
          </w:rPr>
          <m:t>)</m:t>
        </m:r>
      </m:oMath>
      <w:r>
        <w:rPr>
          <w:color w:val="000000"/>
          <w:sz w:val="24"/>
        </w:rPr>
        <w:t>，观看员与失真点云中心和参考点云中心之间夹角为</w:t>
      </w:r>
      <m:oMath>
        <m:r>
          <m:rPr/>
          <w:rPr>
            <w:rFonts w:ascii="Cambria Math" w:hAnsi="Cambria Math"/>
            <w:color w:val="000000"/>
            <w:sz w:val="24"/>
          </w:rPr>
          <m:t>θ</m:t>
        </m:r>
      </m:oMath>
      <w:r>
        <w:rPr>
          <w:color w:val="000000"/>
          <w:sz w:val="24"/>
        </w:rPr>
        <w:t>。改变观察员位置，参考点云的位置改变并逆时针旋转</w:t>
      </w:r>
      <m:oMath>
        <m:r>
          <m:rPr/>
          <w:rPr>
            <w:rFonts w:ascii="Cambria Math" w:hAnsi="Cambria Math"/>
            <w:color w:val="000000"/>
            <w:sz w:val="24"/>
          </w:rPr>
          <m:t>θ</m:t>
        </m:r>
      </m:oMath>
      <w:r>
        <w:rPr>
          <w:color w:val="000000"/>
          <w:sz w:val="24"/>
        </w:rPr>
        <w:t>角度。位置</w:t>
      </w:r>
      <m:oMath>
        <m:r>
          <m:rPr>
            <m:sty m:val="p"/>
          </m:rPr>
          <w:rPr>
            <w:rFonts w:ascii="Cambria Math" w:hAnsi="Cambria Math"/>
            <w:color w:val="000000"/>
            <w:sz w:val="24"/>
          </w:rPr>
          <m:t>(</m:t>
        </m:r>
        <m:sSub>
          <m:sSubPr>
            <m:ctrlPr>
              <w:rPr>
                <w:rFonts w:ascii="Cambria Math" w:hAnsi="Cambria Math"/>
                <w:color w:val="000000"/>
                <w:sz w:val="24"/>
              </w:rPr>
            </m:ctrlPr>
          </m:sSubPr>
          <m:e>
            <m:r>
              <m:rPr/>
              <w:rPr>
                <w:rFonts w:ascii="Cambria Math" w:hAnsi="Cambria Math"/>
                <w:color w:val="000000"/>
                <w:sz w:val="24"/>
              </w:rPr>
              <m:t>x</m:t>
            </m:r>
            <m:ctrlPr>
              <w:rPr>
                <w:rFonts w:ascii="Cambria Math" w:hAnsi="Cambria Math"/>
                <w:color w:val="000000"/>
                <w:sz w:val="24"/>
              </w:rPr>
            </m:ctrlPr>
          </m:e>
          <m:sub>
            <m:r>
              <m:rPr>
                <m:sty m:val="p"/>
              </m:rPr>
              <w:rPr>
                <w:rFonts w:ascii="Cambria Math" w:hAnsi="Cambria Math"/>
                <w:color w:val="000000"/>
                <w:sz w:val="24"/>
              </w:rPr>
              <m:t>2</m:t>
            </m:r>
            <m:ctrlPr>
              <w:rPr>
                <w:rFonts w:ascii="Cambria Math" w:hAnsi="Cambria Math"/>
                <w:color w:val="000000"/>
                <w:sz w:val="24"/>
              </w:rPr>
            </m:ctrlPr>
          </m:sub>
        </m:sSub>
        <m:r>
          <m:rPr>
            <m:sty m:val="p"/>
          </m:rPr>
          <w:rPr>
            <w:rFonts w:ascii="Cambria Math" w:hAnsi="Cambria Math"/>
            <w:color w:val="000000"/>
            <w:sz w:val="24"/>
          </w:rPr>
          <m:t>,</m:t>
        </m:r>
        <m:sSub>
          <m:sSubPr>
            <m:ctrlPr>
              <w:rPr>
                <w:rFonts w:ascii="Cambria Math" w:hAnsi="Cambria Math"/>
                <w:color w:val="000000"/>
                <w:sz w:val="24"/>
              </w:rPr>
            </m:ctrlPr>
          </m:sSubPr>
          <m:e>
            <m:r>
              <m:rPr/>
              <w:rPr>
                <w:rFonts w:ascii="Cambria Math" w:hAnsi="Cambria Math"/>
                <w:color w:val="000000"/>
                <w:sz w:val="24"/>
              </w:rPr>
              <m:t>y</m:t>
            </m:r>
            <m:ctrlPr>
              <w:rPr>
                <w:rFonts w:ascii="Cambria Math" w:hAnsi="Cambria Math"/>
                <w:color w:val="000000"/>
                <w:sz w:val="24"/>
              </w:rPr>
            </m:ctrlPr>
          </m:e>
          <m:sub>
            <m:r>
              <m:rPr>
                <m:sty m:val="p"/>
              </m:rPr>
              <w:rPr>
                <w:rFonts w:ascii="Cambria Math" w:hAnsi="Cambria Math"/>
                <w:color w:val="000000"/>
                <w:sz w:val="24"/>
              </w:rPr>
              <m:t>2</m:t>
            </m:r>
            <m:ctrlPr>
              <w:rPr>
                <w:rFonts w:ascii="Cambria Math" w:hAnsi="Cambria Math"/>
                <w:color w:val="000000"/>
                <w:sz w:val="24"/>
              </w:rPr>
            </m:ctrlPr>
          </m:sub>
        </m:sSub>
        <m:r>
          <m:rPr>
            <m:sty m:val="p"/>
          </m:rPr>
          <w:rPr>
            <w:rFonts w:ascii="Cambria Math" w:hAnsi="Cambria Math"/>
            <w:color w:val="000000"/>
            <w:sz w:val="24"/>
          </w:rPr>
          <m:t>)</m:t>
        </m:r>
      </m:oMath>
      <w:r>
        <w:rPr>
          <w:color w:val="000000"/>
          <w:sz w:val="24"/>
        </w:rPr>
        <w:t>和角度</w:t>
      </w:r>
      <m:oMath>
        <m:r>
          <m:rPr/>
          <w:rPr>
            <w:rFonts w:ascii="Cambria Math" w:hAnsi="Cambria Math"/>
            <w:color w:val="000000"/>
            <w:sz w:val="24"/>
          </w:rPr>
          <m:t>θ</m:t>
        </m:r>
      </m:oMath>
      <w:r>
        <w:rPr>
          <w:color w:val="000000"/>
          <w:sz w:val="24"/>
        </w:rPr>
        <w:t>需满足如下关系式：</w:t>
      </w:r>
    </w:p>
    <w:p w14:paraId="4C38FDF2">
      <w:pPr>
        <w:pStyle w:val="33"/>
        <w:spacing w:before="60" w:beforeAutospacing="0" w:after="60" w:afterAutospacing="0" w:line="20" w:lineRule="atLeast"/>
        <w:jc w:val="center"/>
        <w:rPr>
          <w:rFonts w:ascii="Times New Roman" w:hAnsi="Times New Roman" w:cs="Times New Roman"/>
          <w:color w:val="000000"/>
          <w:sz w:val="21"/>
          <w:szCs w:val="21"/>
        </w:rPr>
      </w:pPr>
      <m:oMath>
        <m:d>
          <m:dPr>
            <m:begChr m:val="{"/>
            <m:endChr m:val=""/>
            <m:ctrlPr>
              <w:rPr>
                <w:rFonts w:ascii="Cambria Math" w:hAnsi="Cambria Math" w:cs="Times New Roman"/>
                <w:i/>
                <w:color w:val="000000"/>
                <w:sz w:val="21"/>
                <w:szCs w:val="21"/>
              </w:rPr>
            </m:ctrlPr>
          </m:dPr>
          <m:e>
            <m:eqArr>
              <m:eqArrPr>
                <m:ctrlPr>
                  <w:rPr>
                    <w:rFonts w:ascii="Cambria Math" w:hAnsi="Cambria Math" w:cs="Times New Roman"/>
                    <w:i/>
                    <w:color w:val="000000"/>
                    <w:sz w:val="21"/>
                    <w:szCs w:val="21"/>
                  </w:rPr>
                </m:ctrlPr>
              </m:eqArrPr>
              <m:e>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m:t>
                    </m:r>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m:t>
                    </m:r>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m:t>
                    </m:r>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m:t>
                    </m:r>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e>
              <m:e>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D</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e>
              <m:e>
                <m:r>
                  <m:rPr/>
                  <w:rPr>
                    <w:rFonts w:ascii="Cambria Math" w:hAnsi="Cambria Math" w:cs="Times New Roman"/>
                    <w:color w:val="000000"/>
                    <w:sz w:val="21"/>
                    <w:szCs w:val="21"/>
                  </w:rPr>
                  <m:t>sinθ=</m:t>
                </m:r>
                <m:rad>
                  <m:radPr>
                    <m:degHide m:val="1"/>
                    <m:ctrlPr>
                      <w:rPr>
                        <w:rFonts w:ascii="Cambria Math" w:hAnsi="Cambria Math" w:cs="Times New Roman"/>
                        <w:i/>
                        <w:color w:val="000000"/>
                        <w:sz w:val="21"/>
                        <w:szCs w:val="21"/>
                      </w:rPr>
                    </m:ctrlPr>
                  </m:radPr>
                  <m:deg>
                    <m:ctrlPr>
                      <w:rPr>
                        <w:rFonts w:ascii="Cambria Math" w:hAnsi="Cambria Math" w:cs="Times New Roman"/>
                        <w:i/>
                        <w:color w:val="000000"/>
                        <w:sz w:val="21"/>
                        <w:szCs w:val="21"/>
                      </w:rPr>
                    </m:ctrlPr>
                  </m:deg>
                  <m:e>
                    <m:f>
                      <m:fPr>
                        <m:ctrlPr>
                          <w:rPr>
                            <w:rFonts w:ascii="Cambria Math" w:hAnsi="Cambria Math" w:cs="Times New Roman"/>
                            <w:i/>
                            <w:color w:val="000000"/>
                            <w:sz w:val="21"/>
                            <w:szCs w:val="21"/>
                          </w:rPr>
                        </m:ctrlPr>
                      </m:fPr>
                      <m:num>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num>
                      <m:den>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den>
                    </m:f>
                    <m:ctrlPr>
                      <w:rPr>
                        <w:rFonts w:ascii="Cambria Math" w:hAnsi="Cambria Math" w:cs="Times New Roman"/>
                        <w:i/>
                        <w:color w:val="000000"/>
                        <w:sz w:val="21"/>
                        <w:szCs w:val="21"/>
                      </w:rPr>
                    </m:ctrlPr>
                  </m:e>
                </m:rad>
                <m:ctrlPr>
                  <w:rPr>
                    <w:rFonts w:ascii="Cambria Math" w:hAnsi="Cambria Math" w:cs="Times New Roman"/>
                    <w:i/>
                    <w:color w:val="000000"/>
                    <w:sz w:val="21"/>
                    <w:szCs w:val="21"/>
                  </w:rPr>
                </m:ctrlPr>
              </m:e>
            </m:eqArr>
            <m:ctrlPr>
              <w:rPr>
                <w:rFonts w:ascii="Cambria Math" w:hAnsi="Cambria Math" w:cs="Times New Roman"/>
                <w:i/>
                <w:color w:val="000000"/>
                <w:sz w:val="21"/>
                <w:szCs w:val="21"/>
              </w:rPr>
            </m:ctrlPr>
          </m:e>
        </m:d>
      </m:oMath>
      <w:r>
        <w:rPr>
          <w:rFonts w:ascii="Times New Roman" w:hAnsi="Times New Roman" w:cs="Times New Roman"/>
          <w:color w:val="000000"/>
        </w:rPr>
        <w:fldChar w:fldCharType="begin"/>
      </w:r>
      <w:r>
        <w:rPr>
          <w:rFonts w:ascii="Times New Roman" w:hAnsi="Times New Roman" w:cs="Times New Roman"/>
          <w:color w:val="000000"/>
        </w:rPr>
        <w:instrText xml:space="preserve"> QUOTE </w:instrText>
      </w:r>
      <w:r>
        <w:rPr>
          <w:rFonts w:ascii="Times New Roman" w:hAnsi="Times New Roman" w:cs="Times New Roman"/>
          <w:position w:val="-8"/>
        </w:rPr>
        <w:pict>
          <v:shape id="_x0000_i1025" o:spt="75" type="#_x0000_t75" style="height:12.85pt;width:20.55pt;" filled="f" o:preferrelative="t" stroked="f" coordsize="21600,21600">
            <v:path/>
            <v:fill on="f" focussize="0,0"/>
            <v:stroke on="f" joinstyle="miter"/>
            <v:imagedata r:id="rId11" chromakey="#FFFFFF" o:title=""/>
            <o:lock v:ext="edit" rotation="t" cropping="t" aspectratio="t"/>
            <w10:wrap type="none"/>
            <w10:anchorlock/>
          </v:shape>
        </w:pict>
      </w:r>
      <w:r>
        <w:rPr>
          <w:rFonts w:ascii="Times New Roman" w:hAnsi="Times New Roman" w:cs="Times New Roman"/>
          <w:color w:val="000000"/>
        </w:rPr>
        <w:instrText xml:space="preserve"> </w:instrText>
      </w:r>
      <w:r>
        <w:rPr>
          <w:rFonts w:ascii="Times New Roman" w:hAnsi="Times New Roman" w:cs="Times New Roman"/>
          <w:color w:val="000000"/>
        </w:rPr>
        <w:fldChar w:fldCharType="separate"/>
      </w:r>
      <w:r>
        <w:rPr>
          <w:rFonts w:ascii="Times New Roman" w:hAnsi="Times New Roman" w:cs="Times New Roman"/>
          <w:color w:val="000000"/>
        </w:rPr>
        <w:fldChar w:fldCharType="end"/>
      </w:r>
    </w:p>
    <w:p w14:paraId="0D6DCE5A">
      <w:pPr>
        <w:pStyle w:val="33"/>
        <w:spacing w:before="60" w:beforeAutospacing="0" w:after="60" w:afterAutospacing="0" w:line="15" w:lineRule="atLeast"/>
        <w:rPr>
          <w:rFonts w:ascii="Times New Roman" w:hAnsi="Times New Roman" w:cs="Times New Roman"/>
          <w:color w:val="000000"/>
          <w:sz w:val="21"/>
          <w:szCs w:val="21"/>
        </w:rPr>
      </w:pPr>
      <w:r>
        <w:rPr>
          <w:rFonts w:ascii="Times New Roman" w:hAnsi="Times New Roman" w:cs="Times New Roman"/>
          <w:sz w:val="21"/>
          <w:szCs w:val="21"/>
          <w:lang w:val="en-GB"/>
        </w:rPr>
        <w:t>当</w:t>
      </w:r>
      <m:oMath>
        <m:sSubSup>
          <m:sSubSupPr>
            <m:ctrlPr>
              <w:rPr>
                <w:rFonts w:ascii="Cambria Math" w:hAnsi="Cambria Math" w:cs="Times New Roman"/>
                <w:i/>
                <w:sz w:val="21"/>
                <w:szCs w:val="21"/>
                <w:lang w:val="en-GB"/>
              </w:rPr>
            </m:ctrlPr>
          </m:sSubSupPr>
          <m:e>
            <m:r>
              <m:rPr/>
              <w:rPr>
                <w:rFonts w:ascii="Cambria Math" w:hAnsi="Cambria Math" w:cs="Times New Roman"/>
                <w:sz w:val="21"/>
                <w:szCs w:val="21"/>
                <w:lang w:val="en-GB"/>
              </w:rPr>
              <m:t>x</m:t>
            </m:r>
            <m:ctrlPr>
              <w:rPr>
                <w:rFonts w:ascii="Cambria Math" w:hAnsi="Cambria Math" w:cs="Times New Roman"/>
                <w:i/>
                <w:sz w:val="21"/>
                <w:szCs w:val="21"/>
                <w:lang w:val="en-GB"/>
              </w:rPr>
            </m:ctrlPr>
          </m:e>
          <m:sub>
            <m:r>
              <m:rPr/>
              <w:rPr>
                <w:rFonts w:ascii="Cambria Math" w:hAnsi="Cambria Math" w:cs="Times New Roman"/>
                <w:sz w:val="21"/>
                <w:szCs w:val="21"/>
                <w:lang w:val="en-GB"/>
              </w:rPr>
              <m:t>1</m:t>
            </m:r>
            <m:ctrlPr>
              <w:rPr>
                <w:rFonts w:ascii="Cambria Math" w:hAnsi="Cambria Math" w:cs="Times New Roman"/>
                <w:i/>
                <w:sz w:val="21"/>
                <w:szCs w:val="21"/>
                <w:lang w:val="en-GB"/>
              </w:rPr>
            </m:ctrlPr>
          </m:sub>
          <m:sup>
            <m:r>
              <m:rPr/>
              <w:rPr>
                <w:rFonts w:ascii="Cambria Math" w:hAnsi="Cambria Math" w:cs="Times New Roman"/>
                <w:sz w:val="21"/>
                <w:szCs w:val="21"/>
                <w:lang w:val="en-GB"/>
              </w:rPr>
              <m:t>2</m:t>
            </m:r>
            <m:ctrlPr>
              <w:rPr>
                <w:rFonts w:ascii="Cambria Math" w:hAnsi="Cambria Math" w:cs="Times New Roman"/>
                <w:i/>
                <w:sz w:val="21"/>
                <w:szCs w:val="21"/>
                <w:lang w:val="en-GB"/>
              </w:rPr>
            </m:ctrlPr>
          </m:sup>
        </m:sSubSup>
        <m:r>
          <m:rPr/>
          <w:rPr>
            <w:rFonts w:ascii="Cambria Math" w:hAnsi="Cambria Math" w:cs="Times New Roman"/>
            <w:sz w:val="21"/>
            <w:szCs w:val="21"/>
            <w:lang w:val="en-GB"/>
          </w:rPr>
          <m:t>+</m:t>
        </m:r>
        <m:sSubSup>
          <m:sSubSupPr>
            <m:ctrlPr>
              <w:rPr>
                <w:rFonts w:ascii="Cambria Math" w:hAnsi="Cambria Math" w:cs="Times New Roman"/>
                <w:i/>
                <w:sz w:val="21"/>
                <w:szCs w:val="21"/>
                <w:lang w:val="en-GB"/>
              </w:rPr>
            </m:ctrlPr>
          </m:sSubSupPr>
          <m:e>
            <m:r>
              <m:rPr/>
              <w:rPr>
                <w:rFonts w:ascii="Cambria Math" w:hAnsi="Cambria Math" w:cs="Times New Roman"/>
                <w:sz w:val="21"/>
                <w:szCs w:val="21"/>
                <w:lang w:val="en-GB"/>
              </w:rPr>
              <m:t>y</m:t>
            </m:r>
            <m:ctrlPr>
              <w:rPr>
                <w:rFonts w:ascii="Cambria Math" w:hAnsi="Cambria Math" w:cs="Times New Roman"/>
                <w:i/>
                <w:sz w:val="21"/>
                <w:szCs w:val="21"/>
                <w:lang w:val="en-GB"/>
              </w:rPr>
            </m:ctrlPr>
          </m:e>
          <m:sub>
            <m:r>
              <m:rPr/>
              <w:rPr>
                <w:rFonts w:ascii="Cambria Math" w:hAnsi="Cambria Math" w:cs="Times New Roman"/>
                <w:sz w:val="21"/>
                <w:szCs w:val="21"/>
                <w:lang w:val="en-GB"/>
              </w:rPr>
              <m:t>1</m:t>
            </m:r>
            <m:ctrlPr>
              <w:rPr>
                <w:rFonts w:ascii="Cambria Math" w:hAnsi="Cambria Math" w:cs="Times New Roman"/>
                <w:i/>
                <w:sz w:val="21"/>
                <w:szCs w:val="21"/>
                <w:lang w:val="en-GB"/>
              </w:rPr>
            </m:ctrlPr>
          </m:sub>
          <m:sup>
            <m:r>
              <m:rPr/>
              <w:rPr>
                <w:rFonts w:ascii="Cambria Math" w:hAnsi="Cambria Math" w:cs="Times New Roman"/>
                <w:sz w:val="21"/>
                <w:szCs w:val="21"/>
                <w:lang w:val="en-GB"/>
              </w:rPr>
              <m:t>2</m:t>
            </m:r>
            <m:ctrlPr>
              <w:rPr>
                <w:rFonts w:ascii="Cambria Math" w:hAnsi="Cambria Math" w:cs="Times New Roman"/>
                <w:i/>
                <w:sz w:val="21"/>
                <w:szCs w:val="21"/>
                <w:lang w:val="en-GB"/>
              </w:rPr>
            </m:ctrlPr>
          </m:sup>
        </m:sSubSup>
        <m:r>
          <m:rPr/>
          <w:rPr>
            <w:rFonts w:ascii="Cambria Math" w:hAnsi="Cambria Math" w:cs="Times New Roman"/>
            <w:sz w:val="21"/>
            <w:szCs w:val="21"/>
            <w:lang w:val="en-GB"/>
          </w:rPr>
          <m:t>≥</m:t>
        </m:r>
        <m:f>
          <m:fPr>
            <m:ctrlPr>
              <w:rPr>
                <w:rFonts w:ascii="Cambria Math" w:hAnsi="Cambria Math" w:cs="Times New Roman"/>
                <w:i/>
                <w:sz w:val="21"/>
                <w:szCs w:val="21"/>
                <w:lang w:val="en-GB"/>
              </w:rPr>
            </m:ctrlPr>
          </m:fPr>
          <m:num>
            <m:r>
              <m:rPr/>
              <w:rPr>
                <w:rFonts w:ascii="Cambria Math" w:hAnsi="Cambria Math" w:cs="Times New Roman"/>
                <w:sz w:val="21"/>
                <w:szCs w:val="21"/>
                <w:lang w:val="en-GB"/>
              </w:rPr>
              <m:t>1</m:t>
            </m:r>
            <m:ctrlPr>
              <w:rPr>
                <w:rFonts w:ascii="Cambria Math" w:hAnsi="Cambria Math" w:cs="Times New Roman"/>
                <w:i/>
                <w:sz w:val="21"/>
                <w:szCs w:val="21"/>
                <w:lang w:val="en-GB"/>
              </w:rPr>
            </m:ctrlPr>
          </m:num>
          <m:den>
            <m:r>
              <m:rPr/>
              <w:rPr>
                <w:rFonts w:ascii="Cambria Math" w:hAnsi="Cambria Math" w:cs="Times New Roman"/>
                <w:sz w:val="21"/>
                <w:szCs w:val="21"/>
                <w:lang w:val="en-GB"/>
              </w:rPr>
              <m:t>4</m:t>
            </m:r>
            <m:ctrlPr>
              <w:rPr>
                <w:rFonts w:ascii="Cambria Math" w:hAnsi="Cambria Math" w:cs="Times New Roman"/>
                <w:i/>
                <w:sz w:val="21"/>
                <w:szCs w:val="21"/>
                <w:lang w:val="en-GB"/>
              </w:rPr>
            </m:ctrlPr>
          </m:den>
        </m:f>
        <m:r>
          <m:rPr/>
          <w:rPr>
            <w:rFonts w:ascii="Cambria Math" w:hAnsi="Cambria Math" w:cs="Times New Roman"/>
            <w:sz w:val="21"/>
            <w:szCs w:val="21"/>
            <w:lang w:val="en-GB"/>
          </w:rPr>
          <m:t>D</m:t>
        </m:r>
      </m:oMath>
      <w:r>
        <w:rPr>
          <w:rFonts w:ascii="Times New Roman" w:hAnsi="Times New Roman" w:cs="Times New Roman"/>
          <w:sz w:val="21"/>
          <w:szCs w:val="21"/>
          <w:lang w:val="en-GB"/>
        </w:rPr>
        <w:t>时，</w:t>
      </w:r>
    </w:p>
    <w:p w14:paraId="489218AE">
      <w:pPr>
        <w:pStyle w:val="33"/>
        <w:spacing w:before="60" w:beforeAutospacing="0" w:after="60" w:afterAutospacing="0" w:line="15" w:lineRule="atLeast"/>
        <w:jc w:val="center"/>
        <w:rPr>
          <w:rFonts w:ascii="Times New Roman" w:hAnsi="Times New Roman" w:cs="Times New Roman"/>
          <w:color w:val="000000"/>
          <w:sz w:val="21"/>
          <w:szCs w:val="21"/>
        </w:rPr>
      </w:pPr>
      <m:oMathPara>
        <m:oMath>
          <m:d>
            <m:dPr>
              <m:begChr m:val="{"/>
              <m:endChr m:val=""/>
              <m:ctrlPr>
                <w:rPr>
                  <w:rFonts w:ascii="Cambria Math" w:hAnsi="Cambria Math" w:cs="Times New Roman"/>
                  <w:i/>
                  <w:color w:val="000000"/>
                  <w:sz w:val="21"/>
                  <w:szCs w:val="21"/>
                </w:rPr>
              </m:ctrlPr>
            </m:dPr>
            <m:e>
              <m:eqArr>
                <m:eqArrPr>
                  <m:ctrlPr>
                    <w:rPr>
                      <w:rFonts w:ascii="Cambria Math" w:hAnsi="Cambria Math" w:cs="Times New Roman"/>
                      <w:i/>
                      <w:color w:val="000000"/>
                      <w:sz w:val="21"/>
                      <w:szCs w:val="21"/>
                    </w:rPr>
                  </m:ctrlPr>
                </m:eqArr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m:t>
                  </m:r>
                  <m:f>
                    <m:fPr>
                      <m:ctrlPr>
                        <w:rPr>
                          <w:rFonts w:ascii="Cambria Math" w:hAnsi="Cambria Math" w:cs="Times New Roman"/>
                          <w:i/>
                          <w:color w:val="000000"/>
                          <w:sz w:val="21"/>
                          <w:szCs w:val="21"/>
                        </w:rPr>
                      </m:ctrlPr>
                    </m:fPr>
                    <m:num>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D</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±D</m:t>
                      </m:r>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rad>
                        <m:radPr>
                          <m:degHide m:val="1"/>
                          <m:ctrlPr>
                            <w:rPr>
                              <w:rFonts w:ascii="Cambria Math" w:hAnsi="Cambria Math" w:cs="Times New Roman"/>
                              <w:i/>
                              <w:color w:val="000000"/>
                              <w:sz w:val="21"/>
                              <w:szCs w:val="21"/>
                            </w:rPr>
                          </m:ctrlPr>
                        </m:radPr>
                        <m:deg>
                          <m:ctrlPr>
                            <w:rPr>
                              <w:rFonts w:ascii="Cambria Math" w:hAnsi="Cambria Math" w:cs="Times New Roman"/>
                              <w:i/>
                              <w:color w:val="000000"/>
                              <w:sz w:val="21"/>
                              <w:szCs w:val="21"/>
                            </w:rPr>
                          </m:ctrlPr>
                        </m:deg>
                        <m:e>
                          <m:r>
                            <m:rPr/>
                            <w:rPr>
                              <w:rFonts w:ascii="Cambria Math" w:hAnsi="Cambria Math" w:cs="Times New Roman"/>
                              <w:color w:val="000000"/>
                              <w:sz w:val="21"/>
                              <w:szCs w:val="21"/>
                            </w:rPr>
                            <m:t>4(</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D</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e>
                      </m:rad>
                      <m:ctrlPr>
                        <w:rPr>
                          <w:rFonts w:ascii="Cambria Math" w:hAnsi="Cambria Math" w:cs="Times New Roman"/>
                          <w:i/>
                          <w:color w:val="000000"/>
                          <w:sz w:val="21"/>
                          <w:szCs w:val="21"/>
                        </w:rPr>
                      </m:ctrlPr>
                    </m:num>
                    <m:den>
                      <m:r>
                        <m:rPr/>
                        <w:rPr>
                          <w:rFonts w:ascii="Cambria Math" w:hAnsi="Cambria Math" w:cs="Times New Roman"/>
                          <w:color w:val="000000"/>
                          <w:sz w:val="21"/>
                          <w:szCs w:val="21"/>
                        </w:rPr>
                        <m:t>2(</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ctrlPr>
                        <w:rPr>
                          <w:rFonts w:ascii="Cambria Math" w:hAnsi="Cambria Math" w:cs="Times New Roman"/>
                          <w:i/>
                          <w:color w:val="000000"/>
                          <w:sz w:val="21"/>
                          <w:szCs w:val="21"/>
                        </w:rPr>
                      </m:ctrlPr>
                    </m:den>
                  </m:f>
                  <m:ctrlPr>
                    <w:rPr>
                      <w:rFonts w:ascii="Cambria Math" w:hAnsi="Cambria Math" w:cs="Times New Roman"/>
                      <w:i/>
                      <w:color w:val="000000"/>
                      <w:sz w:val="21"/>
                      <w:szCs w:val="21"/>
                    </w:rPr>
                  </m:ctrlPr>
                </m:e>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2</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m:t>
                  </m:r>
                  <m:f>
                    <m:fPr>
                      <m:ctrlPr>
                        <w:rPr>
                          <w:rFonts w:ascii="Cambria Math" w:hAnsi="Cambria Math" w:cs="Times New Roman"/>
                          <w:i/>
                          <w:color w:val="000000"/>
                          <w:sz w:val="21"/>
                          <w:szCs w:val="21"/>
                        </w:rPr>
                      </m:ctrlPr>
                    </m:fPr>
                    <m:num>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D</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r>
                        <m:rPr/>
                        <w:rPr>
                          <w:rFonts w:ascii="Cambria Math" w:hAnsi="Cambria Math" w:cs="Times New Roman"/>
                          <w:color w:val="000000"/>
                          <w:sz w:val="21"/>
                          <w:szCs w:val="21"/>
                        </w:rPr>
                        <m:t>±D</m:t>
                      </m:r>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rad>
                        <m:radPr>
                          <m:degHide m:val="1"/>
                          <m:ctrlPr>
                            <w:rPr>
                              <w:rFonts w:ascii="Cambria Math" w:hAnsi="Cambria Math" w:cs="Times New Roman"/>
                              <w:i/>
                              <w:color w:val="000000"/>
                              <w:sz w:val="21"/>
                              <w:szCs w:val="21"/>
                            </w:rPr>
                          </m:ctrlPr>
                        </m:radPr>
                        <m:deg>
                          <m:ctrlPr>
                            <w:rPr>
                              <w:rFonts w:ascii="Cambria Math" w:hAnsi="Cambria Math" w:cs="Times New Roman"/>
                              <w:i/>
                              <w:color w:val="000000"/>
                              <w:sz w:val="21"/>
                              <w:szCs w:val="21"/>
                            </w:rPr>
                          </m:ctrlPr>
                        </m:deg>
                        <m:e>
                          <m:r>
                            <m:rPr/>
                            <w:rPr>
                              <w:rFonts w:ascii="Cambria Math" w:hAnsi="Cambria Math" w:cs="Times New Roman"/>
                              <w:color w:val="000000"/>
                              <w:sz w:val="21"/>
                              <w:szCs w:val="21"/>
                            </w:rPr>
                            <m:t>4(</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D</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e>
                      </m:rad>
                      <m:ctrlPr>
                        <w:rPr>
                          <w:rFonts w:ascii="Cambria Math" w:hAnsi="Cambria Math" w:cs="Times New Roman"/>
                          <w:i/>
                          <w:color w:val="000000"/>
                          <w:sz w:val="21"/>
                          <w:szCs w:val="21"/>
                        </w:rPr>
                      </m:ctrlPr>
                    </m:num>
                    <m:den>
                      <m:r>
                        <m:rPr/>
                        <w:rPr>
                          <w:rFonts w:ascii="Cambria Math" w:hAnsi="Cambria Math" w:cs="Times New Roman"/>
                          <w:color w:val="000000"/>
                          <w:sz w:val="21"/>
                          <w:szCs w:val="21"/>
                        </w:rPr>
                        <m:t>2(</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ctrlPr>
                        <w:rPr>
                          <w:rFonts w:ascii="Cambria Math" w:hAnsi="Cambria Math" w:cs="Times New Roman"/>
                          <w:i/>
                          <w:color w:val="000000"/>
                          <w:sz w:val="21"/>
                          <w:szCs w:val="21"/>
                        </w:rPr>
                      </m:ctrlPr>
                    </m:den>
                  </m:f>
                  <m:ctrlPr>
                    <w:rPr>
                      <w:rFonts w:ascii="Cambria Math" w:hAnsi="Cambria Math" w:cs="Times New Roman"/>
                      <w:i/>
                      <w:color w:val="000000"/>
                      <w:sz w:val="21"/>
                      <w:szCs w:val="21"/>
                    </w:rPr>
                  </m:ctrlPr>
                </m:e>
                <m:e>
                  <m:r>
                    <m:rPr/>
                    <w:rPr>
                      <w:rFonts w:ascii="Cambria Math" w:hAnsi="Cambria Math" w:cs="Times New Roman"/>
                      <w:color w:val="000000"/>
                      <w:sz w:val="21"/>
                      <w:szCs w:val="21"/>
                    </w:rPr>
                    <m:t>θ=arcsin</m:t>
                  </m:r>
                  <m:rad>
                    <m:radPr>
                      <m:degHide m:val="1"/>
                      <m:ctrlPr>
                        <w:rPr>
                          <w:rFonts w:ascii="Cambria Math" w:hAnsi="Cambria Math" w:cs="Times New Roman"/>
                          <w:i/>
                          <w:color w:val="000000"/>
                          <w:sz w:val="21"/>
                          <w:szCs w:val="21"/>
                        </w:rPr>
                      </m:ctrlPr>
                    </m:radPr>
                    <m:deg>
                      <m:ctrlPr>
                        <w:rPr>
                          <w:rFonts w:ascii="Cambria Math" w:hAnsi="Cambria Math" w:cs="Times New Roman"/>
                          <w:i/>
                          <w:color w:val="000000"/>
                          <w:sz w:val="21"/>
                          <w:szCs w:val="21"/>
                        </w:rPr>
                      </m:ctrlPr>
                    </m:deg>
                    <m:e>
                      <m:f>
                        <m:fPr>
                          <m:ctrlPr>
                            <w:rPr>
                              <w:rFonts w:ascii="Cambria Math" w:hAnsi="Cambria Math" w:cs="Times New Roman"/>
                              <w:i/>
                              <w:color w:val="000000"/>
                              <w:sz w:val="21"/>
                              <w:szCs w:val="21"/>
                            </w:rPr>
                          </m:ctrlPr>
                        </m:fPr>
                        <m:num>
                          <m:sSup>
                            <m:sSupPr>
                              <m:ctrlPr>
                                <w:rPr>
                                  <w:rFonts w:ascii="Cambria Math" w:hAnsi="Cambria Math" w:cs="Times New Roman"/>
                                  <w:i/>
                                  <w:color w:val="000000"/>
                                  <w:sz w:val="21"/>
                                  <w:szCs w:val="21"/>
                                </w:rPr>
                              </m:ctrlPr>
                            </m:sSupPr>
                            <m:e>
                              <m:r>
                                <m:rPr/>
                                <w:rPr>
                                  <w:rFonts w:ascii="Cambria Math" w:hAnsi="Cambria Math" w:cs="Times New Roman"/>
                                  <w:color w:val="000000"/>
                                  <w:sz w:val="21"/>
                                  <w:szCs w:val="21"/>
                                </w:rPr>
                                <m:t>D</m:t>
                              </m:r>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num>
                        <m:den>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x</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r>
                            <m:rPr/>
                            <w:rPr>
                              <w:rFonts w:ascii="Cambria Math" w:hAnsi="Cambria Math" w:cs="Times New Roman"/>
                              <w:color w:val="000000"/>
                              <w:sz w:val="21"/>
                              <w:szCs w:val="21"/>
                            </w:rPr>
                            <m:t>+</m:t>
                          </m:r>
                          <m:sSup>
                            <m:sSupPr>
                              <m:ctrlPr>
                                <w:rPr>
                                  <w:rFonts w:ascii="Cambria Math" w:hAnsi="Cambria Math" w:cs="Times New Roman"/>
                                  <w:i/>
                                  <w:color w:val="000000"/>
                                  <w:sz w:val="21"/>
                                  <w:szCs w:val="21"/>
                                </w:rPr>
                              </m:ctrlPr>
                            </m:sSupPr>
                            <m:e>
                              <m:sSub>
                                <m:sSubPr>
                                  <m:ctrlPr>
                                    <w:rPr>
                                      <w:rFonts w:ascii="Cambria Math" w:hAnsi="Cambria Math" w:cs="Times New Roman"/>
                                      <w:i/>
                                      <w:color w:val="000000"/>
                                      <w:sz w:val="21"/>
                                      <w:szCs w:val="21"/>
                                    </w:rPr>
                                  </m:ctrlPr>
                                </m:sSubPr>
                                <m:e>
                                  <m:r>
                                    <m:rPr/>
                                    <w:rPr>
                                      <w:rFonts w:ascii="Cambria Math" w:hAnsi="Cambria Math" w:cs="Times New Roman"/>
                                      <w:color w:val="000000"/>
                                      <w:sz w:val="21"/>
                                      <w:szCs w:val="21"/>
                                    </w:rPr>
                                    <m:t>y</m:t>
                                  </m:r>
                                  <m:ctrlPr>
                                    <w:rPr>
                                      <w:rFonts w:ascii="Cambria Math" w:hAnsi="Cambria Math" w:cs="Times New Roman"/>
                                      <w:i/>
                                      <w:color w:val="000000"/>
                                      <w:sz w:val="21"/>
                                      <w:szCs w:val="21"/>
                                    </w:rPr>
                                  </m:ctrlPr>
                                </m:e>
                                <m:sub>
                                  <m:r>
                                    <m:rPr/>
                                    <w:rPr>
                                      <w:rFonts w:ascii="Cambria Math" w:hAnsi="Cambria Math" w:cs="Times New Roman"/>
                                      <w:color w:val="000000"/>
                                      <w:sz w:val="21"/>
                                      <w:szCs w:val="21"/>
                                    </w:rPr>
                                    <m:t>1</m:t>
                                  </m:r>
                                  <m:ctrlPr>
                                    <w:rPr>
                                      <w:rFonts w:ascii="Cambria Math" w:hAnsi="Cambria Math" w:cs="Times New Roman"/>
                                      <w:i/>
                                      <w:color w:val="000000"/>
                                      <w:sz w:val="21"/>
                                      <w:szCs w:val="21"/>
                                    </w:rPr>
                                  </m:ctrlPr>
                                </m:sub>
                              </m:sSub>
                              <m:ctrlPr>
                                <w:rPr>
                                  <w:rFonts w:ascii="Cambria Math" w:hAnsi="Cambria Math" w:cs="Times New Roman"/>
                                  <w:i/>
                                  <w:color w:val="000000"/>
                                  <w:sz w:val="21"/>
                                  <w:szCs w:val="21"/>
                                </w:rPr>
                              </m:ctrlPr>
                            </m:e>
                            <m:sup>
                              <m:r>
                                <m:rPr/>
                                <w:rPr>
                                  <w:rFonts w:ascii="Cambria Math" w:hAnsi="Cambria Math" w:cs="Times New Roman"/>
                                  <w:color w:val="000000"/>
                                  <w:sz w:val="21"/>
                                  <w:szCs w:val="21"/>
                                </w:rPr>
                                <m:t>2</m:t>
                              </m:r>
                              <m:ctrlPr>
                                <w:rPr>
                                  <w:rFonts w:ascii="Cambria Math" w:hAnsi="Cambria Math" w:cs="Times New Roman"/>
                                  <w:i/>
                                  <w:color w:val="000000"/>
                                  <w:sz w:val="21"/>
                                  <w:szCs w:val="21"/>
                                </w:rPr>
                              </m:ctrlPr>
                            </m:sup>
                          </m:sSup>
                          <m:ctrlPr>
                            <w:rPr>
                              <w:rFonts w:ascii="Cambria Math" w:hAnsi="Cambria Math" w:cs="Times New Roman"/>
                              <w:i/>
                              <w:color w:val="000000"/>
                              <w:sz w:val="21"/>
                              <w:szCs w:val="21"/>
                            </w:rPr>
                          </m:ctrlPr>
                        </m:den>
                      </m:f>
                      <m:ctrlPr>
                        <w:rPr>
                          <w:rFonts w:ascii="Cambria Math" w:hAnsi="Cambria Math" w:cs="Times New Roman"/>
                          <w:i/>
                          <w:color w:val="000000"/>
                          <w:sz w:val="21"/>
                          <w:szCs w:val="21"/>
                        </w:rPr>
                      </m:ctrlPr>
                    </m:e>
                  </m:rad>
                  <m:ctrlPr>
                    <w:rPr>
                      <w:rFonts w:ascii="Cambria Math" w:hAnsi="Cambria Math" w:cs="Times New Roman"/>
                      <w:i/>
                      <w:color w:val="000000"/>
                      <w:sz w:val="21"/>
                      <w:szCs w:val="21"/>
                    </w:rPr>
                  </m:ctrlPr>
                </m:e>
              </m:eqArr>
              <m:ctrlPr>
                <w:rPr>
                  <w:rFonts w:ascii="Cambria Math" w:hAnsi="Cambria Math" w:cs="Times New Roman"/>
                  <w:i/>
                  <w:color w:val="000000"/>
                  <w:sz w:val="21"/>
                  <w:szCs w:val="21"/>
                </w:rPr>
              </m:ctrlPr>
            </m:e>
          </m:d>
        </m:oMath>
      </m:oMathPara>
    </w:p>
    <w:p w14:paraId="608540EC">
      <w:pPr>
        <w:pStyle w:val="24"/>
        <w:numPr>
          <w:ilvl w:val="0"/>
          <w:numId w:val="3"/>
        </w:numPr>
        <w:spacing w:line="360" w:lineRule="auto"/>
        <w:ind w:firstLineChars="0"/>
        <w:rPr>
          <w:rFonts w:ascii="Times New Roman"/>
          <w:b/>
          <w:color w:val="000000"/>
          <w:sz w:val="24"/>
          <w:szCs w:val="24"/>
        </w:rPr>
      </w:pPr>
      <w:r>
        <w:rPr>
          <w:rFonts w:ascii="Times New Roman"/>
          <w:b/>
          <w:color w:val="000000"/>
          <w:sz w:val="24"/>
          <w:szCs w:val="24"/>
        </w:rPr>
        <w:t>评分标度</w:t>
      </w:r>
    </w:p>
    <w:p w14:paraId="2D6FA7C3">
      <w:pPr>
        <w:spacing w:line="360" w:lineRule="auto"/>
        <w:ind w:firstLine="420"/>
        <w:rPr>
          <w:color w:val="000000"/>
          <w:kern w:val="0"/>
          <w:sz w:val="24"/>
        </w:rPr>
      </w:pPr>
      <w:r>
        <w:rPr>
          <w:color w:val="000000"/>
          <w:kern w:val="0"/>
          <w:sz w:val="24"/>
        </w:rPr>
        <w:t>评价时，建议使用五级损伤评分标度。其评分等级和相应的损伤术语在</w:t>
      </w:r>
      <w:r>
        <w:rPr>
          <w:color w:val="000000"/>
          <w:kern w:val="0"/>
          <w:sz w:val="24"/>
        </w:rPr>
        <w:fldChar w:fldCharType="begin"/>
      </w:r>
      <w:r>
        <w:rPr>
          <w:color w:val="000000"/>
          <w:kern w:val="0"/>
          <w:sz w:val="24"/>
        </w:rPr>
        <w:instrText xml:space="preserve"> REF _Ref122613485 \r \h  \* MERGEFORMAT </w:instrText>
      </w:r>
      <w:r>
        <w:rPr>
          <w:color w:val="000000"/>
          <w:kern w:val="0"/>
          <w:sz w:val="24"/>
        </w:rPr>
        <w:fldChar w:fldCharType="separate"/>
      </w:r>
      <w:r>
        <w:rPr>
          <w:color w:val="000000"/>
          <w:kern w:val="0"/>
          <w:sz w:val="24"/>
        </w:rPr>
        <w:t>表1</w:t>
      </w:r>
      <w:r>
        <w:rPr>
          <w:color w:val="000000"/>
          <w:kern w:val="0"/>
          <w:sz w:val="24"/>
        </w:rPr>
        <w:fldChar w:fldCharType="end"/>
      </w:r>
      <w:r>
        <w:rPr>
          <w:color w:val="000000"/>
          <w:kern w:val="0"/>
          <w:sz w:val="24"/>
        </w:rPr>
        <w:t>中给出。要求观看员根据被测点云的质量受损情况，以规定的评分标度适当的等级评分。每次评分对应每个被测点云的一次演示。</w:t>
      </w:r>
    </w:p>
    <w:p w14:paraId="2EFDDAF8">
      <w:pPr>
        <w:pStyle w:val="33"/>
        <w:numPr>
          <w:ilvl w:val="0"/>
          <w:numId w:val="5"/>
        </w:numPr>
        <w:spacing w:before="60" w:beforeAutospacing="0" w:after="60" w:afterAutospacing="0" w:line="20" w:lineRule="atLeast"/>
        <w:jc w:val="center"/>
        <w:rPr>
          <w:rFonts w:ascii="黑体" w:hAnsi="黑体" w:eastAsia="黑体" w:cs="黑体"/>
          <w:color w:val="000000"/>
          <w:sz w:val="21"/>
          <w:szCs w:val="21"/>
        </w:rPr>
      </w:pPr>
      <w:bookmarkStart w:id="6" w:name="_Ref122613485"/>
      <w:r>
        <w:rPr>
          <w:rFonts w:hint="eastAsia" w:ascii="黑体" w:hAnsi="黑体" w:eastAsia="黑体" w:cs="黑体"/>
          <w:color w:val="000000"/>
          <w:sz w:val="21"/>
          <w:szCs w:val="21"/>
        </w:rPr>
        <w:t>五级损伤量表</w:t>
      </w:r>
      <w:bookmarkEnd w:id="6"/>
    </w:p>
    <w:tbl>
      <w:tblPr>
        <w:tblStyle w:val="12"/>
        <w:tblW w:w="0" w:type="auto"/>
        <w:jc w:val="center"/>
        <w:tblLayout w:type="fixed"/>
        <w:tblCellMar>
          <w:top w:w="15" w:type="dxa"/>
          <w:left w:w="15" w:type="dxa"/>
          <w:bottom w:w="15" w:type="dxa"/>
          <w:right w:w="15" w:type="dxa"/>
        </w:tblCellMar>
      </w:tblPr>
      <w:tblGrid>
        <w:gridCol w:w="1625"/>
        <w:gridCol w:w="5838"/>
      </w:tblGrid>
      <w:tr w14:paraId="77697EF1">
        <w:tblPrEx>
          <w:tblCellMar>
            <w:top w:w="15" w:type="dxa"/>
            <w:left w:w="15" w:type="dxa"/>
            <w:bottom w:w="15" w:type="dxa"/>
            <w:right w:w="15" w:type="dxa"/>
          </w:tblCellMar>
        </w:tblPrEx>
        <w:trPr>
          <w:trHeight w:val="229" w:hRule="atLeast"/>
          <w:jc w:val="center"/>
        </w:trPr>
        <w:tc>
          <w:tcPr>
            <w:tcW w:w="1625"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5BC63029">
            <w:pPr>
              <w:pStyle w:val="33"/>
              <w:spacing w:before="0" w:beforeAutospacing="0" w:after="0" w:afterAutospacing="0"/>
              <w:jc w:val="center"/>
              <w:rPr>
                <w:sz w:val="18"/>
                <w:szCs w:val="18"/>
              </w:rPr>
            </w:pPr>
            <w:r>
              <w:rPr>
                <w:rFonts w:hint="eastAsia"/>
                <w:color w:val="000000"/>
                <w:sz w:val="18"/>
                <w:szCs w:val="18"/>
              </w:rPr>
              <w:t>评分等级</w:t>
            </w:r>
          </w:p>
        </w:tc>
        <w:tc>
          <w:tcPr>
            <w:tcW w:w="5838"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5D328D74">
            <w:pPr>
              <w:pStyle w:val="33"/>
              <w:spacing w:before="0" w:beforeAutospacing="0" w:after="0" w:afterAutospacing="0"/>
              <w:jc w:val="center"/>
              <w:rPr>
                <w:sz w:val="18"/>
                <w:szCs w:val="18"/>
              </w:rPr>
            </w:pPr>
            <w:r>
              <w:rPr>
                <w:rFonts w:hint="eastAsia"/>
                <w:color w:val="000000"/>
                <w:sz w:val="18"/>
                <w:szCs w:val="18"/>
              </w:rPr>
              <w:t>损伤</w:t>
            </w:r>
          </w:p>
        </w:tc>
      </w:tr>
      <w:tr w14:paraId="742A2757">
        <w:tblPrEx>
          <w:tblCellMar>
            <w:top w:w="15" w:type="dxa"/>
            <w:left w:w="15" w:type="dxa"/>
            <w:bottom w:w="15" w:type="dxa"/>
            <w:right w:w="15" w:type="dxa"/>
          </w:tblCellMar>
        </w:tblPrEx>
        <w:trPr>
          <w:trHeight w:val="419" w:hRule="atLeast"/>
          <w:jc w:val="center"/>
        </w:trPr>
        <w:tc>
          <w:tcPr>
            <w:tcW w:w="1625"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2537E1A8">
            <w:pPr>
              <w:pStyle w:val="33"/>
              <w:spacing w:before="0" w:beforeAutospacing="0" w:after="0" w:afterAutospacing="0"/>
              <w:jc w:val="center"/>
              <w:rPr>
                <w:sz w:val="18"/>
                <w:szCs w:val="18"/>
              </w:rPr>
            </w:pPr>
            <w:r>
              <w:rPr>
                <w:rFonts w:hint="eastAsia"/>
                <w:color w:val="000000"/>
                <w:sz w:val="18"/>
                <w:szCs w:val="18"/>
              </w:rPr>
              <w:t>5</w:t>
            </w:r>
          </w:p>
        </w:tc>
        <w:tc>
          <w:tcPr>
            <w:tcW w:w="5838"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6BD8B87B">
            <w:pPr>
              <w:pStyle w:val="33"/>
              <w:spacing w:before="0" w:beforeAutospacing="0" w:after="0" w:afterAutospacing="0"/>
              <w:jc w:val="center"/>
              <w:rPr>
                <w:sz w:val="18"/>
                <w:szCs w:val="18"/>
              </w:rPr>
            </w:pPr>
            <w:r>
              <w:rPr>
                <w:rFonts w:hint="eastAsia"/>
                <w:color w:val="000000"/>
                <w:sz w:val="18"/>
                <w:szCs w:val="18"/>
              </w:rPr>
              <w:t>损伤不可察觉</w:t>
            </w:r>
          </w:p>
        </w:tc>
      </w:tr>
      <w:tr w14:paraId="46FDF08A">
        <w:tblPrEx>
          <w:tblCellMar>
            <w:top w:w="15" w:type="dxa"/>
            <w:left w:w="15" w:type="dxa"/>
            <w:bottom w:w="15" w:type="dxa"/>
            <w:right w:w="15" w:type="dxa"/>
          </w:tblCellMar>
        </w:tblPrEx>
        <w:trPr>
          <w:trHeight w:val="419" w:hRule="atLeast"/>
          <w:jc w:val="center"/>
        </w:trPr>
        <w:tc>
          <w:tcPr>
            <w:tcW w:w="1625"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10341A96">
            <w:pPr>
              <w:pStyle w:val="33"/>
              <w:spacing w:before="0" w:beforeAutospacing="0" w:after="0" w:afterAutospacing="0"/>
              <w:jc w:val="center"/>
              <w:rPr>
                <w:sz w:val="18"/>
                <w:szCs w:val="18"/>
              </w:rPr>
            </w:pPr>
            <w:r>
              <w:rPr>
                <w:rFonts w:hint="eastAsia"/>
                <w:color w:val="000000"/>
                <w:sz w:val="18"/>
                <w:szCs w:val="18"/>
              </w:rPr>
              <w:t>4</w:t>
            </w:r>
          </w:p>
        </w:tc>
        <w:tc>
          <w:tcPr>
            <w:tcW w:w="5838"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39ECA836">
            <w:pPr>
              <w:pStyle w:val="33"/>
              <w:spacing w:before="0" w:beforeAutospacing="0" w:after="0" w:afterAutospacing="0"/>
              <w:jc w:val="center"/>
              <w:rPr>
                <w:sz w:val="18"/>
                <w:szCs w:val="18"/>
              </w:rPr>
            </w:pPr>
            <w:r>
              <w:rPr>
                <w:rFonts w:hint="eastAsia"/>
                <w:color w:val="000000"/>
                <w:sz w:val="18"/>
                <w:szCs w:val="18"/>
              </w:rPr>
              <w:t>损伤可察觉，但不令人讨厌</w:t>
            </w:r>
          </w:p>
        </w:tc>
      </w:tr>
      <w:tr w14:paraId="32FC3AC2">
        <w:tblPrEx>
          <w:tblCellMar>
            <w:top w:w="15" w:type="dxa"/>
            <w:left w:w="15" w:type="dxa"/>
            <w:bottom w:w="15" w:type="dxa"/>
            <w:right w:w="15" w:type="dxa"/>
          </w:tblCellMar>
        </w:tblPrEx>
        <w:trPr>
          <w:trHeight w:val="419" w:hRule="atLeast"/>
          <w:jc w:val="center"/>
        </w:trPr>
        <w:tc>
          <w:tcPr>
            <w:tcW w:w="1625"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1701BE91">
            <w:pPr>
              <w:pStyle w:val="33"/>
              <w:spacing w:before="0" w:beforeAutospacing="0" w:after="0" w:afterAutospacing="0"/>
              <w:jc w:val="center"/>
              <w:rPr>
                <w:sz w:val="18"/>
                <w:szCs w:val="18"/>
              </w:rPr>
            </w:pPr>
            <w:r>
              <w:rPr>
                <w:rFonts w:hint="eastAsia"/>
                <w:color w:val="000000"/>
                <w:sz w:val="18"/>
                <w:szCs w:val="18"/>
              </w:rPr>
              <w:t>3</w:t>
            </w:r>
          </w:p>
        </w:tc>
        <w:tc>
          <w:tcPr>
            <w:tcW w:w="5838"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38F891C0">
            <w:pPr>
              <w:pStyle w:val="33"/>
              <w:spacing w:before="0" w:beforeAutospacing="0" w:after="0" w:afterAutospacing="0"/>
              <w:jc w:val="center"/>
              <w:rPr>
                <w:sz w:val="18"/>
                <w:szCs w:val="18"/>
              </w:rPr>
            </w:pPr>
            <w:r>
              <w:rPr>
                <w:rFonts w:hint="eastAsia"/>
                <w:color w:val="000000"/>
                <w:sz w:val="18"/>
                <w:szCs w:val="18"/>
              </w:rPr>
              <w:t>损伤令人有些讨厌</w:t>
            </w:r>
          </w:p>
        </w:tc>
      </w:tr>
      <w:tr w14:paraId="1473224B">
        <w:tblPrEx>
          <w:tblCellMar>
            <w:top w:w="15" w:type="dxa"/>
            <w:left w:w="15" w:type="dxa"/>
            <w:bottom w:w="15" w:type="dxa"/>
            <w:right w:w="15" w:type="dxa"/>
          </w:tblCellMar>
        </w:tblPrEx>
        <w:trPr>
          <w:trHeight w:val="419" w:hRule="atLeast"/>
          <w:jc w:val="center"/>
        </w:trPr>
        <w:tc>
          <w:tcPr>
            <w:tcW w:w="1625"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1166ED4F">
            <w:pPr>
              <w:pStyle w:val="33"/>
              <w:spacing w:before="0" w:beforeAutospacing="0" w:after="0" w:afterAutospacing="0"/>
              <w:jc w:val="center"/>
              <w:rPr>
                <w:sz w:val="18"/>
                <w:szCs w:val="18"/>
              </w:rPr>
            </w:pPr>
            <w:r>
              <w:rPr>
                <w:rFonts w:hint="eastAsia"/>
                <w:color w:val="000000"/>
                <w:sz w:val="18"/>
                <w:szCs w:val="18"/>
              </w:rPr>
              <w:t>2</w:t>
            </w:r>
          </w:p>
        </w:tc>
        <w:tc>
          <w:tcPr>
            <w:tcW w:w="5838"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34AAB875">
            <w:pPr>
              <w:pStyle w:val="33"/>
              <w:spacing w:before="0" w:beforeAutospacing="0" w:after="0" w:afterAutospacing="0"/>
              <w:jc w:val="center"/>
              <w:rPr>
                <w:sz w:val="18"/>
                <w:szCs w:val="18"/>
              </w:rPr>
            </w:pPr>
            <w:r>
              <w:rPr>
                <w:rFonts w:hint="eastAsia"/>
                <w:color w:val="000000"/>
                <w:sz w:val="18"/>
                <w:szCs w:val="18"/>
              </w:rPr>
              <w:t>损伤令人讨厌</w:t>
            </w:r>
          </w:p>
        </w:tc>
      </w:tr>
      <w:tr w14:paraId="55D98E3B">
        <w:tblPrEx>
          <w:tblCellMar>
            <w:top w:w="15" w:type="dxa"/>
            <w:left w:w="15" w:type="dxa"/>
            <w:bottom w:w="15" w:type="dxa"/>
            <w:right w:w="15" w:type="dxa"/>
          </w:tblCellMar>
        </w:tblPrEx>
        <w:trPr>
          <w:trHeight w:val="419" w:hRule="atLeast"/>
          <w:jc w:val="center"/>
        </w:trPr>
        <w:tc>
          <w:tcPr>
            <w:tcW w:w="1625"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1FF75D28">
            <w:pPr>
              <w:pStyle w:val="33"/>
              <w:spacing w:before="0" w:beforeAutospacing="0" w:after="0" w:afterAutospacing="0"/>
              <w:jc w:val="center"/>
              <w:rPr>
                <w:sz w:val="18"/>
                <w:szCs w:val="18"/>
              </w:rPr>
            </w:pPr>
            <w:r>
              <w:rPr>
                <w:rFonts w:hint="eastAsia"/>
                <w:color w:val="000000"/>
                <w:sz w:val="18"/>
                <w:szCs w:val="18"/>
              </w:rPr>
              <w:t>1</w:t>
            </w:r>
          </w:p>
        </w:tc>
        <w:tc>
          <w:tcPr>
            <w:tcW w:w="5838" w:type="dxa"/>
            <w:tcBorders>
              <w:top w:val="single" w:color="000000" w:sz="6" w:space="0"/>
              <w:left w:val="single" w:color="000000" w:sz="6" w:space="0"/>
              <w:bottom w:val="single" w:color="000000" w:sz="6" w:space="0"/>
              <w:right w:val="single" w:color="000000" w:sz="6" w:space="0"/>
            </w:tcBorders>
            <w:tcMar>
              <w:top w:w="60" w:type="dxa"/>
              <w:left w:w="60" w:type="dxa"/>
              <w:bottom w:w="45" w:type="dxa"/>
              <w:right w:w="60" w:type="dxa"/>
            </w:tcMar>
          </w:tcPr>
          <w:p w14:paraId="6FBD8D10">
            <w:pPr>
              <w:pStyle w:val="33"/>
              <w:spacing w:before="0" w:beforeAutospacing="0" w:after="0" w:afterAutospacing="0"/>
              <w:jc w:val="center"/>
              <w:rPr>
                <w:sz w:val="18"/>
                <w:szCs w:val="18"/>
              </w:rPr>
            </w:pPr>
            <w:r>
              <w:rPr>
                <w:rFonts w:hint="eastAsia"/>
                <w:color w:val="000000"/>
                <w:sz w:val="18"/>
                <w:szCs w:val="18"/>
              </w:rPr>
              <w:t>损伤令人很讨厌</w:t>
            </w:r>
          </w:p>
        </w:tc>
      </w:tr>
    </w:tbl>
    <w:p w14:paraId="3B2E3B5D">
      <w:pPr>
        <w:pStyle w:val="24"/>
        <w:numPr>
          <w:ilvl w:val="0"/>
          <w:numId w:val="3"/>
        </w:numPr>
        <w:spacing w:line="360" w:lineRule="auto"/>
        <w:ind w:firstLineChars="0"/>
        <w:rPr>
          <w:rFonts w:ascii="Times New Roman"/>
          <w:b/>
          <w:color w:val="000000"/>
          <w:sz w:val="24"/>
          <w:szCs w:val="24"/>
        </w:rPr>
      </w:pPr>
      <w:r>
        <w:rPr>
          <w:rFonts w:ascii="Times New Roman"/>
          <w:b/>
          <w:color w:val="000000"/>
          <w:sz w:val="24"/>
          <w:szCs w:val="24"/>
        </w:rPr>
        <w:t>结果分析</w:t>
      </w:r>
    </w:p>
    <w:p w14:paraId="259AB402">
      <w:pPr>
        <w:spacing w:line="360" w:lineRule="auto"/>
        <w:ind w:firstLine="420"/>
        <w:rPr>
          <w:color w:val="000000"/>
          <w:kern w:val="0"/>
          <w:sz w:val="24"/>
        </w:rPr>
      </w:pPr>
      <w:r>
        <w:rPr>
          <w:color w:val="000000"/>
          <w:kern w:val="0"/>
          <w:sz w:val="24"/>
        </w:rPr>
        <w:t>计算最终的主观分数需要两个步骤，即对观察员打分结果进行筛选，以及实际主观分数计算。</w:t>
      </w:r>
    </w:p>
    <w:p w14:paraId="5681C7FA">
      <w:pPr>
        <w:spacing w:line="360" w:lineRule="auto"/>
        <w:ind w:firstLine="420"/>
        <w:rPr>
          <w:color w:val="000000"/>
          <w:kern w:val="0"/>
          <w:sz w:val="24"/>
        </w:rPr>
      </w:pPr>
      <w:r>
        <w:rPr>
          <w:color w:val="000000"/>
          <w:kern w:val="0"/>
          <w:sz w:val="24"/>
        </w:rPr>
        <w:t>对于观察员打分结果筛选，参考自ITU-R BT. 500-14，宜采用</w:t>
      </w:r>
      <m:oMath>
        <m:sSub>
          <m:sSubPr>
            <m:ctrlPr>
              <w:rPr>
                <w:rFonts w:ascii="Cambria Math" w:hAnsi="Cambria Math"/>
                <w:color w:val="000000"/>
                <w:kern w:val="0"/>
                <w:sz w:val="24"/>
              </w:rPr>
            </m:ctrlPr>
          </m:sSubPr>
          <m:e>
            <m:r>
              <m:rPr/>
              <w:rPr>
                <w:rFonts w:ascii="Cambria Math" w:hAnsi="Cambria Math"/>
                <w:color w:val="000000"/>
                <w:kern w:val="0"/>
                <w:sz w:val="24"/>
              </w:rPr>
              <m:t>β</m:t>
            </m:r>
            <m:ctrlPr>
              <w:rPr>
                <w:rFonts w:ascii="Cambria Math" w:hAnsi="Cambria Math"/>
                <w:color w:val="000000"/>
                <w:kern w:val="0"/>
                <w:sz w:val="24"/>
              </w:rPr>
            </m:ctrlPr>
          </m:e>
          <m:sub>
            <m:r>
              <m:rPr>
                <m:sty m:val="p"/>
              </m:rPr>
              <w:rPr>
                <w:rFonts w:ascii="Cambria Math" w:hAnsi="Cambria Math"/>
                <w:color w:val="000000"/>
                <w:kern w:val="0"/>
                <w:sz w:val="24"/>
              </w:rPr>
              <m:t>2</m:t>
            </m:r>
            <m:ctrlPr>
              <w:rPr>
                <w:rFonts w:ascii="Cambria Math" w:hAnsi="Cambria Math"/>
                <w:color w:val="000000"/>
                <w:kern w:val="0"/>
                <w:sz w:val="24"/>
              </w:rPr>
            </m:ctrlPr>
          </m:sub>
        </m:sSub>
      </m:oMath>
      <w:r>
        <w:rPr>
          <w:color w:val="000000"/>
          <w:kern w:val="0"/>
          <w:sz w:val="24"/>
        </w:rPr>
        <w:t>测试确定测试演示的这种评分分布正常与否。如果</w:t>
      </w:r>
      <m:oMath>
        <m:sSub>
          <m:sSubPr>
            <m:ctrlPr>
              <w:rPr>
                <w:rFonts w:ascii="Cambria Math" w:hAnsi="Cambria Math"/>
                <w:color w:val="000000"/>
                <w:kern w:val="0"/>
                <w:sz w:val="24"/>
              </w:rPr>
            </m:ctrlPr>
          </m:sSubPr>
          <m:e>
            <m:r>
              <m:rPr/>
              <w:rPr>
                <w:rFonts w:ascii="Cambria Math" w:hAnsi="Cambria Math"/>
                <w:color w:val="000000"/>
                <w:kern w:val="0"/>
                <w:sz w:val="24"/>
              </w:rPr>
              <m:t>β</m:t>
            </m:r>
            <m:ctrlPr>
              <w:rPr>
                <w:rFonts w:ascii="Cambria Math" w:hAnsi="Cambria Math"/>
                <w:color w:val="000000"/>
                <w:kern w:val="0"/>
                <w:sz w:val="24"/>
              </w:rPr>
            </m:ctrlPr>
          </m:e>
          <m:sub>
            <m:r>
              <m:rPr>
                <m:sty m:val="p"/>
              </m:rPr>
              <w:rPr>
                <w:rFonts w:ascii="Cambria Math" w:hAnsi="Cambria Math"/>
                <w:color w:val="000000"/>
                <w:kern w:val="0"/>
                <w:sz w:val="24"/>
              </w:rPr>
              <m:t>2</m:t>
            </m:r>
            <m:ctrlPr>
              <w:rPr>
                <w:rFonts w:ascii="Cambria Math" w:hAnsi="Cambria Math"/>
                <w:color w:val="000000"/>
                <w:kern w:val="0"/>
                <w:sz w:val="24"/>
              </w:rPr>
            </m:ctrlPr>
          </m:sub>
        </m:sSub>
      </m:oMath>
      <w:r>
        <w:rPr>
          <w:color w:val="000000"/>
          <w:kern w:val="0"/>
          <w:sz w:val="24"/>
        </w:rPr>
        <w:t>在2和4之间，则这一分布视为正常。</w:t>
      </w:r>
    </w:p>
    <w:p w14:paraId="4BE1B5BC">
      <w:pPr>
        <w:spacing w:line="360" w:lineRule="auto"/>
        <w:ind w:firstLine="420"/>
        <w:rPr>
          <w:color w:val="000000"/>
          <w:kern w:val="0"/>
          <w:sz w:val="24"/>
        </w:rPr>
      </w:pPr>
      <w:r>
        <w:rPr>
          <w:color w:val="000000"/>
          <w:kern w:val="0"/>
          <w:sz w:val="24"/>
        </w:rPr>
        <w:t>该测试可用数学过程表示：</w:t>
      </w:r>
    </w:p>
    <w:p w14:paraId="2D05C710">
      <w:pPr>
        <w:spacing w:line="360" w:lineRule="auto"/>
        <w:ind w:firstLine="420"/>
        <w:rPr>
          <w:color w:val="000000"/>
          <w:kern w:val="0"/>
          <w:sz w:val="24"/>
        </w:rPr>
      </w:pPr>
      <w:r>
        <w:rPr>
          <w:color w:val="000000"/>
          <w:kern w:val="0"/>
          <w:sz w:val="24"/>
        </w:rPr>
        <w:t>第</w:t>
      </w:r>
      <m:oMath>
        <m:r>
          <m:rPr/>
          <w:rPr>
            <w:rFonts w:ascii="Cambria Math" w:hAnsi="Cambria Math"/>
            <w:color w:val="000000"/>
            <w:kern w:val="0"/>
            <w:sz w:val="24"/>
          </w:rPr>
          <m:t>i</m:t>
        </m:r>
      </m:oMath>
      <w:r>
        <w:rPr>
          <w:color w:val="000000"/>
          <w:kern w:val="0"/>
          <w:sz w:val="24"/>
        </w:rPr>
        <w:t>个观察员在测试条件</w:t>
      </w:r>
      <m:oMath>
        <m:r>
          <m:rPr/>
          <w:rPr>
            <w:rFonts w:ascii="Cambria Math" w:hAnsi="Cambria Math"/>
            <w:color w:val="000000"/>
            <w:kern w:val="0"/>
            <w:sz w:val="24"/>
          </w:rPr>
          <m:t>j</m:t>
        </m:r>
      </m:oMath>
      <w:r>
        <w:rPr>
          <w:color w:val="000000"/>
          <w:kern w:val="0"/>
          <w:sz w:val="24"/>
        </w:rPr>
        <w:t>下对第</w:t>
      </w:r>
      <m:oMath>
        <m:r>
          <m:rPr/>
          <w:rPr>
            <w:rFonts w:ascii="Cambria Math" w:hAnsi="Cambria Math"/>
            <w:color w:val="000000"/>
            <w:kern w:val="0"/>
            <w:sz w:val="24"/>
          </w:rPr>
          <m:t>k</m:t>
        </m:r>
      </m:oMath>
      <w:r>
        <w:rPr>
          <w:color w:val="000000"/>
          <w:kern w:val="0"/>
          <w:sz w:val="24"/>
        </w:rPr>
        <w:t>个测试序列/点云，重复</w:t>
      </w:r>
      <m:oMath>
        <m:r>
          <m:rPr/>
          <w:rPr>
            <w:rFonts w:ascii="Cambria Math" w:hAnsi="Cambria Math"/>
            <w:color w:val="000000"/>
            <w:kern w:val="0"/>
            <w:sz w:val="24"/>
          </w:rPr>
          <m:t>r</m:t>
        </m:r>
      </m:oMath>
      <w:r>
        <w:rPr>
          <w:color w:val="000000"/>
          <w:kern w:val="0"/>
          <w:sz w:val="24"/>
        </w:rPr>
        <w:t>次情况下的得分为</w:t>
      </w: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oMath>
      <w:r>
        <w:rPr>
          <w:color w:val="000000"/>
          <w:kern w:val="0"/>
          <w:sz w:val="24"/>
        </w:rPr>
        <w:t>。对每次测试演示，可以计算均值</w:t>
      </w:r>
      <m:oMath>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，峰态系数</w:t>
      </w:r>
      <m:oMath>
        <m:sSub>
          <m:sSubPr>
            <m:ctrlPr>
              <w:rPr>
                <w:rFonts w:ascii="Cambria Math" w:hAnsi="Cambria Math"/>
                <w:color w:val="000000"/>
                <w:kern w:val="0"/>
                <w:sz w:val="24"/>
              </w:rPr>
            </m:ctrlPr>
          </m:sSubPr>
          <m:e>
            <m:r>
              <m:rPr/>
              <w:rPr>
                <w:rFonts w:ascii="Cambria Math" w:hAnsi="Cambria Math"/>
                <w:color w:val="000000"/>
                <w:kern w:val="0"/>
                <w:sz w:val="24"/>
              </w:rPr>
              <m:t>β</m:t>
            </m:r>
            <m:ctrlPr>
              <w:rPr>
                <w:rFonts w:ascii="Cambria Math" w:hAnsi="Cambria Math"/>
                <w:color w:val="000000"/>
                <w:kern w:val="0"/>
                <w:sz w:val="24"/>
              </w:rPr>
            </m:ctrlPr>
          </m:e>
          <m:sub>
            <m:r>
              <m:rPr>
                <m:sty m:val="p"/>
              </m:rPr>
              <w:rPr>
                <w:rFonts w:ascii="Cambria Math" w:hAnsi="Cambria Math"/>
                <w:color w:val="000000"/>
                <w:kern w:val="0"/>
                <w:sz w:val="24"/>
              </w:rPr>
              <m:t>2</m:t>
            </m:r>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和标准差</w:t>
      </w:r>
      <m:oMath>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w:t>
      </w:r>
    </w:p>
    <w:p w14:paraId="51B27B84">
      <w:pPr>
        <w:spacing w:line="360" w:lineRule="auto"/>
        <w:rPr>
          <w:color w:val="000000"/>
          <w:kern w:val="0"/>
          <w:sz w:val="24"/>
        </w:rPr>
      </w:pPr>
      <m:oMathPara>
        <m:oMath>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f>
            <m:fPr>
              <m:ctrlPr>
                <w:rPr>
                  <w:rFonts w:ascii="Cambria Math" w:hAnsi="Cambria Math"/>
                  <w:color w:val="000000"/>
                  <w:kern w:val="0"/>
                  <w:sz w:val="24"/>
                </w:rPr>
              </m:ctrlPr>
            </m:fPr>
            <m:num>
              <m:nary>
                <m:naryPr>
                  <m:chr m:val="∑"/>
                  <m:limLoc m:val="undOvr"/>
                  <m:ctrlPr>
                    <w:rPr>
                      <w:rFonts w:ascii="Cambria Math" w:hAnsi="Cambria Math"/>
                      <w:color w:val="000000"/>
                      <w:kern w:val="0"/>
                      <w:sz w:val="24"/>
                    </w:rPr>
                  </m:ctrlPr>
                </m:naryPr>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e>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ctrlPr>
                    <w:rPr>
                      <w:rFonts w:ascii="Cambria Math" w:hAnsi="Cambria Math"/>
                      <w:color w:val="000000"/>
                      <w:kern w:val="0"/>
                      <w:sz w:val="24"/>
                    </w:rPr>
                  </m:ctrlPr>
                </m:e>
              </m:nary>
              <m:ctrlPr>
                <w:rPr>
                  <w:rFonts w:ascii="Cambria Math" w:hAnsi="Cambria Math"/>
                  <w:color w:val="000000"/>
                  <w:kern w:val="0"/>
                  <w:sz w:val="24"/>
                </w:rPr>
              </m:ctrlPr>
            </m:num>
            <m:den>
              <m:r>
                <m:rPr/>
                <w:rPr>
                  <w:rFonts w:ascii="Cambria Math" w:hAnsi="Cambria Math"/>
                  <w:color w:val="000000"/>
                  <w:kern w:val="0"/>
                  <w:sz w:val="24"/>
                </w:rPr>
                <m:t>N</m:t>
              </m:r>
              <m:ctrlPr>
                <w:rPr>
                  <w:rFonts w:ascii="Cambria Math" w:hAnsi="Cambria Math"/>
                  <w:color w:val="000000"/>
                  <w:kern w:val="0"/>
                  <w:sz w:val="24"/>
                </w:rPr>
              </m:ctrlPr>
            </m:den>
          </m:f>
        </m:oMath>
      </m:oMathPara>
    </w:p>
    <w:p w14:paraId="47395477">
      <w:pPr>
        <w:spacing w:line="360" w:lineRule="auto"/>
        <w:rPr>
          <w:color w:val="000000"/>
          <w:kern w:val="0"/>
          <w:sz w:val="24"/>
        </w:rPr>
      </w:pPr>
      <m:oMath>
        <m:sSub>
          <m:sSubPr>
            <m:ctrlPr>
              <w:rPr>
                <w:rFonts w:ascii="Cambria Math" w:hAnsi="Cambria Math"/>
                <w:color w:val="000000"/>
                <w:kern w:val="0"/>
                <w:sz w:val="24"/>
              </w:rPr>
            </m:ctrlPr>
          </m:sSubPr>
          <m:e>
            <m:r>
              <m:rPr/>
              <w:rPr>
                <w:rFonts w:ascii="Cambria Math" w:hAnsi="Cambria Math"/>
                <w:color w:val="000000"/>
                <w:kern w:val="0"/>
                <w:sz w:val="24"/>
              </w:rPr>
              <m:t>β</m:t>
            </m:r>
            <m:ctrlPr>
              <w:rPr>
                <w:rFonts w:ascii="Cambria Math" w:hAnsi="Cambria Math"/>
                <w:color w:val="000000"/>
                <w:kern w:val="0"/>
                <w:sz w:val="24"/>
              </w:rPr>
            </m:ctrlPr>
          </m:e>
          <m:sub>
            <m:r>
              <m:rPr>
                <m:sty m:val="p"/>
              </m:rPr>
              <w:rPr>
                <w:rFonts w:ascii="Cambria Math" w:hAnsi="Cambria Math"/>
                <w:color w:val="000000"/>
                <w:kern w:val="0"/>
                <w:sz w:val="24"/>
              </w:rPr>
              <m:t>2</m:t>
            </m:r>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f>
          <m:fPr>
            <m:ctrlPr>
              <w:rPr>
                <w:rFonts w:ascii="Cambria Math" w:hAnsi="Cambria Math"/>
                <w:color w:val="000000"/>
                <w:kern w:val="0"/>
                <w:sz w:val="24"/>
              </w:rPr>
            </m:ctrlPr>
          </m:fPr>
          <m:num>
            <m:sSub>
              <m:sSubPr>
                <m:ctrlPr>
                  <w:rPr>
                    <w:rFonts w:ascii="Cambria Math" w:hAnsi="Cambria Math"/>
                    <w:color w:val="000000"/>
                    <w:kern w:val="0"/>
                    <w:sz w:val="24"/>
                  </w:rPr>
                </m:ctrlPr>
              </m:sSubPr>
              <m:e>
                <m:r>
                  <m:rPr/>
                  <w:rPr>
                    <w:rFonts w:ascii="Cambria Math" w:hAnsi="Cambria Math"/>
                    <w:color w:val="000000"/>
                    <w:kern w:val="0"/>
                    <w:sz w:val="24"/>
                  </w:rPr>
                  <m:t>m</m:t>
                </m:r>
                <m:ctrlPr>
                  <w:rPr>
                    <w:rFonts w:ascii="Cambria Math" w:hAnsi="Cambria Math"/>
                    <w:color w:val="000000"/>
                    <w:kern w:val="0"/>
                    <w:sz w:val="24"/>
                  </w:rPr>
                </m:ctrlPr>
              </m:e>
              <m:sub>
                <m:r>
                  <m:rPr>
                    <m:sty m:val="p"/>
                  </m:rPr>
                  <w:rPr>
                    <w:rFonts w:ascii="Cambria Math" w:hAnsi="Cambria Math"/>
                    <w:color w:val="000000"/>
                    <w:kern w:val="0"/>
                    <w:sz w:val="24"/>
                  </w:rPr>
                  <m:t>4</m:t>
                </m:r>
                <m:ctrlPr>
                  <w:rPr>
                    <w:rFonts w:ascii="Cambria Math" w:hAnsi="Cambria Math"/>
                    <w:color w:val="000000"/>
                    <w:kern w:val="0"/>
                    <w:sz w:val="24"/>
                  </w:rPr>
                </m:ctrlPr>
              </m:sub>
            </m:sSub>
            <m:ctrlPr>
              <w:rPr>
                <w:rFonts w:ascii="Cambria Math" w:hAnsi="Cambria Math"/>
                <w:color w:val="000000"/>
                <w:kern w:val="0"/>
                <w:sz w:val="24"/>
              </w:rPr>
            </m:ctrlPr>
          </m:num>
          <m:den>
            <m:sSup>
              <m:sSupPr>
                <m:ctrlPr>
                  <w:rPr>
                    <w:rFonts w:ascii="Cambria Math" w:hAnsi="Cambria Math"/>
                    <w:color w:val="000000"/>
                    <w:kern w:val="0"/>
                    <w:sz w:val="24"/>
                  </w:rPr>
                </m:ctrlPr>
              </m:sSupPr>
              <m:e>
                <m:d>
                  <m:dPr>
                    <m:ctrlPr>
                      <w:rPr>
                        <w:rFonts w:ascii="Cambria Math" w:hAnsi="Cambria Math"/>
                        <w:color w:val="000000"/>
                        <w:kern w:val="0"/>
                        <w:sz w:val="24"/>
                      </w:rPr>
                    </m:ctrlPr>
                  </m:dPr>
                  <m:e>
                    <m:sSub>
                      <m:sSubPr>
                        <m:ctrlPr>
                          <w:rPr>
                            <w:rFonts w:ascii="Cambria Math" w:hAnsi="Cambria Math"/>
                            <w:color w:val="000000"/>
                            <w:kern w:val="0"/>
                            <w:sz w:val="24"/>
                          </w:rPr>
                        </m:ctrlPr>
                      </m:sSubPr>
                      <m:e>
                        <m:r>
                          <m:rPr/>
                          <w:rPr>
                            <w:rFonts w:ascii="Cambria Math" w:hAnsi="Cambria Math"/>
                            <w:color w:val="000000"/>
                            <w:kern w:val="0"/>
                            <w:sz w:val="24"/>
                          </w:rPr>
                          <m:t>m</m:t>
                        </m:r>
                        <m:ctrlPr>
                          <w:rPr>
                            <w:rFonts w:ascii="Cambria Math" w:hAnsi="Cambria Math"/>
                            <w:color w:val="000000"/>
                            <w:kern w:val="0"/>
                            <w:sz w:val="24"/>
                          </w:rPr>
                        </m:ctrlPr>
                      </m:e>
                      <m:sub>
                        <m:r>
                          <m:rPr>
                            <m:sty m:val="p"/>
                          </m:rPr>
                          <w:rPr>
                            <w:rFonts w:ascii="Cambria Math" w:hAnsi="Cambria Math"/>
                            <w:color w:val="000000"/>
                            <w:kern w:val="0"/>
                            <w:sz w:val="24"/>
                          </w:rPr>
                          <m:t>2</m:t>
                        </m:r>
                        <m:ctrlPr>
                          <w:rPr>
                            <w:rFonts w:ascii="Cambria Math" w:hAnsi="Cambria Math"/>
                            <w:color w:val="000000"/>
                            <w:kern w:val="0"/>
                            <w:sz w:val="24"/>
                          </w:rPr>
                        </m:ctrlPr>
                      </m:sub>
                    </m:sSub>
                    <m:ctrlPr>
                      <w:rPr>
                        <w:rFonts w:ascii="Cambria Math" w:hAnsi="Cambria Math"/>
                        <w:color w:val="000000"/>
                        <w:kern w:val="0"/>
                        <w:sz w:val="24"/>
                      </w:rPr>
                    </m:ctrlPr>
                  </m:e>
                </m:d>
                <m:ctrlPr>
                  <w:rPr>
                    <w:rFonts w:ascii="Cambria Math" w:hAnsi="Cambria Math"/>
                    <w:color w:val="000000"/>
                    <w:kern w:val="0"/>
                    <w:sz w:val="24"/>
                  </w:rPr>
                </m:ctrlPr>
              </m:e>
              <m:sup>
                <m:r>
                  <m:rPr>
                    <m:sty m:val="p"/>
                  </m:rPr>
                  <w:rPr>
                    <w:rFonts w:ascii="Cambria Math" w:hAnsi="Cambria Math"/>
                    <w:color w:val="000000"/>
                    <w:kern w:val="0"/>
                    <w:sz w:val="24"/>
                  </w:rPr>
                  <m:t>2</m:t>
                </m:r>
                <m:ctrlPr>
                  <w:rPr>
                    <w:rFonts w:ascii="Cambria Math" w:hAnsi="Cambria Math"/>
                    <w:color w:val="000000"/>
                    <w:kern w:val="0"/>
                    <w:sz w:val="24"/>
                  </w:rPr>
                </m:ctrlPr>
              </m:sup>
            </m:sSup>
            <m:ctrlPr>
              <w:rPr>
                <w:rFonts w:ascii="Cambria Math" w:hAnsi="Cambria Math"/>
                <w:color w:val="000000"/>
                <w:kern w:val="0"/>
                <w:sz w:val="24"/>
              </w:rPr>
            </m:ctrlPr>
          </m:den>
        </m:f>
      </m:oMath>
      <w:r>
        <w:rPr>
          <w:color w:val="000000"/>
          <w:kern w:val="0"/>
          <w:sz w:val="24"/>
        </w:rPr>
        <w:t xml:space="preserve">，其中 </w:t>
      </w:r>
      <m:oMath>
        <m:sSub>
          <m:sSubPr>
            <m:ctrlPr>
              <w:rPr>
                <w:rFonts w:ascii="Cambria Math" w:hAnsi="Cambria Math"/>
                <w:color w:val="000000"/>
                <w:kern w:val="0"/>
                <w:sz w:val="24"/>
              </w:rPr>
            </m:ctrlPr>
          </m:sSubPr>
          <m:e>
            <m:r>
              <m:rPr/>
              <w:rPr>
                <w:rFonts w:ascii="Cambria Math" w:hAnsi="Cambria Math"/>
                <w:color w:val="000000"/>
                <w:kern w:val="0"/>
                <w:sz w:val="24"/>
              </w:rPr>
              <m:t>m</m:t>
            </m:r>
            <m:ctrlPr>
              <w:rPr>
                <w:rFonts w:ascii="Cambria Math" w:hAnsi="Cambria Math"/>
                <w:color w:val="000000"/>
                <w:kern w:val="0"/>
                <w:sz w:val="24"/>
              </w:rPr>
            </m:ctrlPr>
          </m:e>
          <m:sub>
            <m:r>
              <m:rPr/>
              <w:rPr>
                <w:rFonts w:ascii="Cambria Math" w:hAnsi="Cambria Math"/>
                <w:color w:val="000000"/>
                <w:kern w:val="0"/>
                <w:sz w:val="24"/>
              </w:rPr>
              <m:t>x</m:t>
            </m:r>
            <m:ctrlPr>
              <w:rPr>
                <w:rFonts w:ascii="Cambria Math" w:hAnsi="Cambria Math"/>
                <w:color w:val="000000"/>
                <w:kern w:val="0"/>
                <w:sz w:val="24"/>
              </w:rPr>
            </m:ctrlPr>
          </m:sub>
        </m:sSub>
        <m:r>
          <m:rPr>
            <m:sty m:val="p"/>
          </m:rPr>
          <w:rPr>
            <w:rFonts w:ascii="Cambria Math" w:hAnsi="Cambria Math"/>
            <w:color w:val="000000"/>
            <w:kern w:val="0"/>
            <w:sz w:val="24"/>
          </w:rPr>
          <m:t>=</m:t>
        </m:r>
        <m:f>
          <m:fPr>
            <m:ctrlPr>
              <w:rPr>
                <w:rFonts w:ascii="Cambria Math" w:hAnsi="Cambria Math"/>
                <w:color w:val="000000"/>
                <w:kern w:val="0"/>
                <w:sz w:val="24"/>
              </w:rPr>
            </m:ctrlPr>
          </m:fPr>
          <m:num>
            <m:nary>
              <m:naryPr>
                <m:chr m:val="∑"/>
                <m:limLoc m:val="undOvr"/>
                <m:ctrlPr>
                  <w:rPr>
                    <w:rFonts w:ascii="Cambria Math" w:hAnsi="Cambria Math"/>
                    <w:color w:val="000000"/>
                    <w:kern w:val="0"/>
                    <w:sz w:val="24"/>
                  </w:rPr>
                </m:ctrlPr>
              </m:naryPr>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e>
                <m:sSup>
                  <m:sSupPr>
                    <m:ctrlPr>
                      <w:rPr>
                        <w:rFonts w:ascii="Cambria Math" w:hAnsi="Cambria Math"/>
                        <w:color w:val="000000"/>
                        <w:kern w:val="0"/>
                        <w:sz w:val="24"/>
                      </w:rPr>
                    </m:ctrlPr>
                  </m:sSupPr>
                  <m:e>
                    <m:d>
                      <m:dPr>
                        <m:ctrlPr>
                          <w:rPr>
                            <w:rFonts w:ascii="Cambria Math" w:hAnsi="Cambria Math"/>
                            <w:color w:val="000000"/>
                            <w:kern w:val="0"/>
                            <w:sz w:val="24"/>
                          </w:rPr>
                        </m:ctrlPr>
                      </m:dPr>
                      <m:e>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ctrlPr>
                          <w:rPr>
                            <w:rFonts w:ascii="Cambria Math" w:hAnsi="Cambria Math"/>
                            <w:color w:val="000000"/>
                            <w:kern w:val="0"/>
                            <w:sz w:val="24"/>
                          </w:rPr>
                        </m:ctrlPr>
                      </m:e>
                    </m:d>
                    <m:ctrlPr>
                      <w:rPr>
                        <w:rFonts w:ascii="Cambria Math" w:hAnsi="Cambria Math"/>
                        <w:color w:val="000000"/>
                        <w:kern w:val="0"/>
                        <w:sz w:val="24"/>
                      </w:rPr>
                    </m:ctrlPr>
                  </m:e>
                  <m:sup>
                    <m:r>
                      <m:rPr/>
                      <w:rPr>
                        <w:rFonts w:ascii="Cambria Math" w:hAnsi="Cambria Math"/>
                        <w:color w:val="000000"/>
                        <w:kern w:val="0"/>
                        <w:sz w:val="24"/>
                      </w:rPr>
                      <m:t>x</m:t>
                    </m:r>
                    <m:ctrlPr>
                      <w:rPr>
                        <w:rFonts w:ascii="Cambria Math" w:hAnsi="Cambria Math"/>
                        <w:color w:val="000000"/>
                        <w:kern w:val="0"/>
                        <w:sz w:val="24"/>
                      </w:rPr>
                    </m:ctrlPr>
                  </m:sup>
                </m:sSup>
                <m:ctrlPr>
                  <w:rPr>
                    <w:rFonts w:ascii="Cambria Math" w:hAnsi="Cambria Math"/>
                    <w:color w:val="000000"/>
                    <w:kern w:val="0"/>
                    <w:sz w:val="24"/>
                  </w:rPr>
                </m:ctrlPr>
              </m:e>
            </m:nary>
            <m:ctrlPr>
              <w:rPr>
                <w:rFonts w:ascii="Cambria Math" w:hAnsi="Cambria Math"/>
                <w:color w:val="000000"/>
                <w:kern w:val="0"/>
                <w:sz w:val="24"/>
              </w:rPr>
            </m:ctrlPr>
          </m:num>
          <m:den>
            <m:r>
              <m:rPr/>
              <w:rPr>
                <w:rFonts w:ascii="Cambria Math" w:hAnsi="Cambria Math"/>
                <w:color w:val="000000"/>
                <w:kern w:val="0"/>
                <w:sz w:val="24"/>
              </w:rPr>
              <m:t>N</m:t>
            </m:r>
            <m:ctrlPr>
              <w:rPr>
                <w:rFonts w:ascii="Cambria Math" w:hAnsi="Cambria Math"/>
                <w:color w:val="000000"/>
                <w:kern w:val="0"/>
                <w:sz w:val="24"/>
              </w:rPr>
            </m:ctrlPr>
          </m:den>
        </m:f>
      </m:oMath>
    </w:p>
    <w:p w14:paraId="7D6A2714">
      <w:pPr>
        <w:spacing w:line="360" w:lineRule="auto"/>
        <w:rPr>
          <w:color w:val="000000"/>
          <w:kern w:val="0"/>
          <w:sz w:val="24"/>
        </w:rPr>
      </w:pPr>
      <m:oMathPara>
        <m:oMath>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rad>
            <m:radPr>
              <m:degHide m:val="1"/>
              <m:ctrlPr>
                <w:rPr>
                  <w:rFonts w:ascii="Cambria Math" w:hAnsi="Cambria Math"/>
                  <w:color w:val="000000"/>
                  <w:kern w:val="0"/>
                  <w:sz w:val="24"/>
                </w:rPr>
              </m:ctrlPr>
            </m:radPr>
            <m:deg>
              <m:ctrlPr>
                <w:rPr>
                  <w:rFonts w:ascii="Cambria Math" w:hAnsi="Cambria Math"/>
                  <w:color w:val="000000"/>
                  <w:kern w:val="0"/>
                  <w:sz w:val="24"/>
                </w:rPr>
              </m:ctrlPr>
            </m:deg>
            <m:e>
              <m:f>
                <m:fPr>
                  <m:ctrlPr>
                    <w:rPr>
                      <w:rFonts w:ascii="Cambria Math" w:hAnsi="Cambria Math"/>
                      <w:color w:val="000000"/>
                      <w:kern w:val="0"/>
                      <w:sz w:val="24"/>
                    </w:rPr>
                  </m:ctrlPr>
                </m:fPr>
                <m:num>
                  <m:nary>
                    <m:naryPr>
                      <m:chr m:val="∑"/>
                      <m:limLoc m:val="undOvr"/>
                      <m:ctrlPr>
                        <w:rPr>
                          <w:rFonts w:ascii="Cambria Math" w:hAnsi="Cambria Math"/>
                          <w:color w:val="000000"/>
                          <w:kern w:val="0"/>
                          <w:sz w:val="24"/>
                        </w:rPr>
                      </m:ctrlPr>
                    </m:naryPr>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e>
                      <m:sSup>
                        <m:sSupPr>
                          <m:ctrlPr>
                            <w:rPr>
                              <w:rFonts w:ascii="Cambria Math" w:hAnsi="Cambria Math"/>
                              <w:color w:val="000000"/>
                              <w:kern w:val="0"/>
                              <w:sz w:val="24"/>
                            </w:rPr>
                          </m:ctrlPr>
                        </m:sSupPr>
                        <m:e>
                          <m:d>
                            <m:dPr>
                              <m:ctrlPr>
                                <w:rPr>
                                  <w:rFonts w:ascii="Cambria Math" w:hAnsi="Cambria Math"/>
                                  <w:color w:val="000000"/>
                                  <w:kern w:val="0"/>
                                  <w:sz w:val="24"/>
                                </w:rPr>
                              </m:ctrlPr>
                            </m:dPr>
                            <m:e>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ctrlPr>
                                <w:rPr>
                                  <w:rFonts w:ascii="Cambria Math" w:hAnsi="Cambria Math"/>
                                  <w:color w:val="000000"/>
                                  <w:kern w:val="0"/>
                                  <w:sz w:val="24"/>
                                </w:rPr>
                              </m:ctrlPr>
                            </m:e>
                          </m:d>
                          <m:ctrlPr>
                            <w:rPr>
                              <w:rFonts w:ascii="Cambria Math" w:hAnsi="Cambria Math"/>
                              <w:color w:val="000000"/>
                              <w:kern w:val="0"/>
                              <w:sz w:val="24"/>
                            </w:rPr>
                          </m:ctrlPr>
                        </m:e>
                        <m:sup>
                          <m:r>
                            <m:rPr>
                              <m:sty m:val="p"/>
                            </m:rPr>
                            <w:rPr>
                              <w:rFonts w:ascii="Cambria Math" w:hAnsi="Cambria Math"/>
                              <w:color w:val="000000"/>
                              <w:kern w:val="0"/>
                              <w:sz w:val="24"/>
                            </w:rPr>
                            <m:t>2</m:t>
                          </m:r>
                          <m:ctrlPr>
                            <w:rPr>
                              <w:rFonts w:ascii="Cambria Math" w:hAnsi="Cambria Math"/>
                              <w:color w:val="000000"/>
                              <w:kern w:val="0"/>
                              <w:sz w:val="24"/>
                            </w:rPr>
                          </m:ctrlPr>
                        </m:sup>
                      </m:sSup>
                      <m:ctrlPr>
                        <w:rPr>
                          <w:rFonts w:ascii="Cambria Math" w:hAnsi="Cambria Math"/>
                          <w:color w:val="000000"/>
                          <w:kern w:val="0"/>
                          <w:sz w:val="24"/>
                        </w:rPr>
                      </m:ctrlPr>
                    </m:e>
                  </m:nary>
                  <m:ctrlPr>
                    <w:rPr>
                      <w:rFonts w:ascii="Cambria Math" w:hAnsi="Cambria Math"/>
                      <w:color w:val="000000"/>
                      <w:kern w:val="0"/>
                      <w:sz w:val="24"/>
                    </w:rPr>
                  </m:ctrlPr>
                </m:num>
                <m:den>
                  <m:r>
                    <m:rPr/>
                    <w:rPr>
                      <w:rFonts w:ascii="Cambria Math" w:hAnsi="Cambria Math"/>
                      <w:color w:val="000000"/>
                      <w:kern w:val="0"/>
                      <w:sz w:val="24"/>
                    </w:rPr>
                    <m:t>N</m:t>
                  </m:r>
                  <m:r>
                    <m:rPr>
                      <m:sty m:val="p"/>
                    </m:rPr>
                    <w:rPr>
                      <w:rFonts w:ascii="Cambria Math" w:hAnsi="Cambria Math"/>
                      <w:color w:val="000000"/>
                      <w:kern w:val="0"/>
                      <w:sz w:val="24"/>
                    </w:rPr>
                    <m:t>−1</m:t>
                  </m:r>
                  <m:ctrlPr>
                    <w:rPr>
                      <w:rFonts w:ascii="Cambria Math" w:hAnsi="Cambria Math"/>
                      <w:color w:val="000000"/>
                      <w:kern w:val="0"/>
                      <w:sz w:val="24"/>
                    </w:rPr>
                  </m:ctrlPr>
                </m:den>
              </m:f>
              <m:ctrlPr>
                <w:rPr>
                  <w:rFonts w:ascii="Cambria Math" w:hAnsi="Cambria Math"/>
                  <w:color w:val="000000"/>
                  <w:kern w:val="0"/>
                  <w:sz w:val="24"/>
                </w:rPr>
              </m:ctrlPr>
            </m:e>
          </m:rad>
        </m:oMath>
      </m:oMathPara>
    </w:p>
    <w:p w14:paraId="6C6A1FE7">
      <w:pPr>
        <w:spacing w:line="360" w:lineRule="auto"/>
        <w:rPr>
          <w:color w:val="000000"/>
          <w:kern w:val="0"/>
          <w:sz w:val="24"/>
        </w:rPr>
      </w:pPr>
      <w:r>
        <w:rPr>
          <w:color w:val="000000"/>
          <w:kern w:val="0"/>
          <w:sz w:val="24"/>
        </w:rPr>
        <w:t>对于每个观察员</w:t>
      </w:r>
      <m:oMath>
        <m:r>
          <m:rPr/>
          <w:rPr>
            <w:rFonts w:ascii="Cambria Math" w:hAnsi="Cambria Math"/>
            <w:color w:val="000000"/>
            <w:kern w:val="0"/>
            <w:sz w:val="24"/>
          </w:rPr>
          <m:t>i</m:t>
        </m:r>
      </m:oMath>
      <w:r>
        <w:rPr>
          <w:color w:val="000000"/>
          <w:kern w:val="0"/>
          <w:sz w:val="24"/>
        </w:rPr>
        <w:t>，找出每一</w:t>
      </w:r>
      <m:oMath>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oMath>
      <w:r>
        <w:rPr>
          <w:color w:val="000000"/>
          <w:kern w:val="0"/>
          <w:sz w:val="24"/>
        </w:rPr>
        <w:t>和</w:t>
      </w:r>
      <m:oMath>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oMath>
      <w:r>
        <w:rPr>
          <w:color w:val="000000"/>
          <w:kern w:val="0"/>
          <w:sz w:val="24"/>
        </w:rPr>
        <w:t>，即：</w:t>
      </w:r>
    </w:p>
    <w:p w14:paraId="3E56C180">
      <w:pPr>
        <w:spacing w:line="360" w:lineRule="auto"/>
        <w:rPr>
          <w:color w:val="000000"/>
          <w:kern w:val="0"/>
          <w:sz w:val="24"/>
        </w:rPr>
      </w:pPr>
      <w:r>
        <w:rPr>
          <w:color w:val="000000"/>
          <w:kern w:val="0"/>
          <w:sz w:val="24"/>
        </w:rPr>
        <w:t>对于</w:t>
      </w:r>
      <m:oMath>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r>
          <m:rPr>
            <m:sty m:val="p"/>
          </m:rPr>
          <w:rPr>
            <w:rFonts w:ascii="Cambria Math" w:hAnsi="Cambria Math"/>
            <w:color w:val="000000"/>
            <w:kern w:val="0"/>
            <w:sz w:val="24"/>
          </w:rPr>
          <m:t>=1,1,1</m:t>
        </m:r>
      </m:oMath>
      <w:r>
        <w:rPr>
          <w:color w:val="000000"/>
          <w:kern w:val="0"/>
          <w:sz w:val="24"/>
        </w:rPr>
        <w:t>至</w:t>
      </w:r>
      <m:oMath>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oMath>
      <w:r>
        <w:rPr>
          <w:color w:val="000000"/>
          <w:kern w:val="0"/>
          <w:sz w:val="24"/>
        </w:rPr>
        <w:t>，</w:t>
      </w:r>
    </w:p>
    <w:p w14:paraId="214A2A96">
      <w:pPr>
        <w:spacing w:line="360" w:lineRule="auto"/>
        <w:rPr>
          <w:color w:val="000000"/>
          <w:kern w:val="0"/>
          <w:sz w:val="24"/>
        </w:rPr>
      </w:pPr>
      <w:r>
        <w:rPr>
          <w:color w:val="000000"/>
          <w:kern w:val="0"/>
          <w:sz w:val="24"/>
        </w:rPr>
        <w:t>若</w:t>
      </w:r>
      <m:oMath>
        <m:r>
          <m:rPr>
            <m:sty m:val="p"/>
          </m:rPr>
          <w:rPr>
            <w:rFonts w:ascii="Cambria Math" w:hAnsi="Cambria Math"/>
            <w:color w:val="000000"/>
            <w:kern w:val="0"/>
            <w:sz w:val="24"/>
          </w:rPr>
          <m:t>2≤</m:t>
        </m:r>
        <m:sSub>
          <m:sSubPr>
            <m:ctrlPr>
              <w:rPr>
                <w:rFonts w:ascii="Cambria Math" w:hAnsi="Cambria Math"/>
                <w:color w:val="000000"/>
                <w:kern w:val="0"/>
                <w:sz w:val="24"/>
              </w:rPr>
            </m:ctrlPr>
          </m:sSubPr>
          <m:e>
            <m:r>
              <m:rPr/>
              <w:rPr>
                <w:rFonts w:ascii="Cambria Math" w:hAnsi="Cambria Math"/>
                <w:color w:val="000000"/>
                <w:kern w:val="0"/>
                <w:sz w:val="24"/>
              </w:rPr>
              <m:t>β</m:t>
            </m:r>
            <m:ctrlPr>
              <w:rPr>
                <w:rFonts w:ascii="Cambria Math" w:hAnsi="Cambria Math"/>
                <w:color w:val="000000"/>
                <w:kern w:val="0"/>
                <w:sz w:val="24"/>
              </w:rPr>
            </m:ctrlPr>
          </m:e>
          <m:sub>
            <m:r>
              <m:rPr>
                <m:sty m:val="p"/>
              </m:rPr>
              <w:rPr>
                <w:rFonts w:ascii="Cambria Math" w:hAnsi="Cambria Math"/>
                <w:color w:val="000000"/>
                <w:kern w:val="0"/>
                <w:sz w:val="24"/>
              </w:rPr>
              <m:t>2</m:t>
            </m:r>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≤4</m:t>
        </m:r>
      </m:oMath>
      <w:r>
        <w:rPr>
          <w:color w:val="000000"/>
          <w:kern w:val="0"/>
          <w:sz w:val="24"/>
        </w:rPr>
        <w:t>：</w:t>
      </w:r>
    </w:p>
    <w:p w14:paraId="3550833A">
      <w:pPr>
        <w:spacing w:line="360" w:lineRule="auto"/>
        <w:rPr>
          <w:color w:val="000000"/>
          <w:kern w:val="0"/>
          <w:sz w:val="24"/>
        </w:rPr>
      </w:pPr>
      <w:r>
        <w:rPr>
          <w:color w:val="000000"/>
          <w:kern w:val="0"/>
          <w:sz w:val="24"/>
        </w:rPr>
        <w:t>若</w:t>
      </w: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+2</m:t>
        </m:r>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 xml:space="preserve"> </m:t>
        </m:r>
      </m:oMath>
      <w:r>
        <w:rPr>
          <w:color w:val="000000"/>
          <w:kern w:val="0"/>
          <w:sz w:val="24"/>
        </w:rPr>
        <w:tab/>
      </w:r>
      <w:r>
        <w:rPr>
          <w:color w:val="000000"/>
          <w:kern w:val="0"/>
          <w:sz w:val="24"/>
        </w:rPr>
        <w:t>则</w:t>
      </w:r>
      <m:oMath>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+1</m:t>
        </m:r>
      </m:oMath>
    </w:p>
    <w:p w14:paraId="6CC70D87">
      <w:pPr>
        <w:spacing w:line="360" w:lineRule="auto"/>
        <w:rPr>
          <w:color w:val="000000"/>
          <w:kern w:val="0"/>
          <w:sz w:val="24"/>
        </w:rPr>
      </w:pPr>
      <w:r>
        <w:rPr>
          <w:color w:val="000000"/>
          <w:kern w:val="0"/>
          <w:sz w:val="24"/>
        </w:rPr>
        <w:t>若</w:t>
      </w: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−2</m:t>
        </m:r>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 xml:space="preserve"> </m:t>
        </m:r>
      </m:oMath>
      <w:r>
        <w:rPr>
          <w:color w:val="000000"/>
          <w:kern w:val="0"/>
          <w:sz w:val="24"/>
        </w:rPr>
        <w:tab/>
      </w:r>
      <w:r>
        <w:rPr>
          <w:color w:val="000000"/>
          <w:kern w:val="0"/>
          <w:sz w:val="24"/>
        </w:rPr>
        <w:t>则</w:t>
      </w:r>
      <m:oMath>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+1</m:t>
        </m:r>
      </m:oMath>
    </w:p>
    <w:p w14:paraId="2B5EDC7F">
      <w:pPr>
        <w:spacing w:line="360" w:lineRule="auto"/>
        <w:rPr>
          <w:color w:val="000000"/>
          <w:kern w:val="0"/>
          <w:sz w:val="24"/>
        </w:rPr>
      </w:pPr>
      <w:r>
        <w:rPr>
          <w:color w:val="000000"/>
          <w:kern w:val="0"/>
          <w:sz w:val="24"/>
        </w:rPr>
        <w:tab/>
      </w:r>
      <w:r>
        <w:rPr>
          <w:color w:val="000000"/>
          <w:kern w:val="0"/>
          <w:sz w:val="24"/>
        </w:rPr>
        <w:t>否则</w:t>
      </w:r>
    </w:p>
    <w:p w14:paraId="713DAF8D">
      <w:pPr>
        <w:spacing w:line="360" w:lineRule="auto"/>
        <w:rPr>
          <w:color w:val="000000"/>
          <w:kern w:val="0"/>
          <w:sz w:val="24"/>
        </w:rPr>
      </w:pPr>
      <w:r>
        <w:rPr>
          <w:color w:val="000000"/>
          <w:kern w:val="0"/>
          <w:sz w:val="24"/>
        </w:rPr>
        <w:t>若</w:t>
      </w: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rad>
          <m:radPr>
            <m:degHide m:val="1"/>
            <m:ctrlPr>
              <w:rPr>
                <w:rFonts w:ascii="Cambria Math" w:hAnsi="Cambria Math"/>
                <w:color w:val="000000"/>
                <w:kern w:val="0"/>
                <w:sz w:val="24"/>
              </w:rPr>
            </m:ctrlPr>
          </m:radPr>
          <m:deg>
            <m:ctrlPr>
              <w:rPr>
                <w:rFonts w:ascii="Cambria Math" w:hAnsi="Cambria Math"/>
                <w:color w:val="000000"/>
                <w:kern w:val="0"/>
                <w:sz w:val="24"/>
              </w:rPr>
            </m:ctrlPr>
          </m:deg>
          <m:e>
            <m:r>
              <m:rPr>
                <m:sty m:val="p"/>
              </m:rPr>
              <w:rPr>
                <w:rFonts w:ascii="Cambria Math" w:hAnsi="Cambria Math"/>
                <w:color w:val="000000"/>
                <w:kern w:val="0"/>
                <w:sz w:val="24"/>
              </w:rPr>
              <m:t>20</m:t>
            </m:r>
            <m:ctrlPr>
              <w:rPr>
                <w:rFonts w:ascii="Cambria Math" w:hAnsi="Cambria Math"/>
                <w:color w:val="000000"/>
                <w:kern w:val="0"/>
                <w:sz w:val="24"/>
              </w:rPr>
            </m:ctrlPr>
          </m:e>
        </m:rad>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 xml:space="preserve"> </m:t>
        </m:r>
      </m:oMath>
      <w:r>
        <w:rPr>
          <w:color w:val="000000"/>
          <w:kern w:val="0"/>
          <w:sz w:val="24"/>
        </w:rPr>
        <w:tab/>
      </w:r>
      <w:r>
        <w:rPr>
          <w:color w:val="000000"/>
          <w:kern w:val="0"/>
          <w:sz w:val="24"/>
        </w:rPr>
        <w:t>则</w:t>
      </w:r>
      <m:oMath>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+1</m:t>
        </m:r>
      </m:oMath>
    </w:p>
    <w:p w14:paraId="6684B5FF">
      <w:pPr>
        <w:spacing w:line="360" w:lineRule="auto"/>
        <w:rPr>
          <w:color w:val="000000"/>
          <w:kern w:val="0"/>
          <w:sz w:val="24"/>
        </w:rPr>
      </w:pPr>
      <w:r>
        <w:rPr>
          <w:color w:val="000000"/>
          <w:kern w:val="0"/>
          <w:sz w:val="24"/>
        </w:rPr>
        <w:t>若</w:t>
      </w: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rad>
          <m:radPr>
            <m:degHide m:val="1"/>
            <m:ctrlPr>
              <w:rPr>
                <w:rFonts w:ascii="Cambria Math" w:hAnsi="Cambria Math"/>
                <w:color w:val="000000"/>
                <w:kern w:val="0"/>
                <w:sz w:val="24"/>
              </w:rPr>
            </m:ctrlPr>
          </m:radPr>
          <m:deg>
            <m:ctrlPr>
              <w:rPr>
                <w:rFonts w:ascii="Cambria Math" w:hAnsi="Cambria Math"/>
                <w:color w:val="000000"/>
                <w:kern w:val="0"/>
                <w:sz w:val="24"/>
              </w:rPr>
            </m:ctrlPr>
          </m:deg>
          <m:e>
            <m:r>
              <m:rPr>
                <m:sty m:val="p"/>
              </m:rPr>
              <w:rPr>
                <w:rFonts w:ascii="Cambria Math" w:hAnsi="Cambria Math"/>
                <w:color w:val="000000"/>
                <w:kern w:val="0"/>
                <w:sz w:val="24"/>
              </w:rPr>
              <m:t>20</m:t>
            </m:r>
            <m:ctrlPr>
              <w:rPr>
                <w:rFonts w:ascii="Cambria Math" w:hAnsi="Cambria Math"/>
                <w:color w:val="000000"/>
                <w:kern w:val="0"/>
                <w:sz w:val="24"/>
              </w:rPr>
            </m:ctrlPr>
          </m:e>
        </m:rad>
        <m:r>
          <m:rPr>
            <m:sty m:val="p"/>
          </m:rPr>
          <w:rPr>
            <w:rFonts w:ascii="Cambria Math" w:hAnsi="Cambria Math"/>
            <w:color w:val="000000"/>
            <w:kern w:val="0"/>
            <w:sz w:val="24"/>
          </w:rPr>
          <m:t xml:space="preserve"> </m:t>
        </m:r>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ab/>
      </w:r>
      <w:r>
        <w:rPr>
          <w:color w:val="000000"/>
          <w:kern w:val="0"/>
          <w:sz w:val="24"/>
        </w:rPr>
        <w:t>则</w:t>
      </w:r>
      <m:oMath>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+1</m:t>
        </m:r>
      </m:oMath>
    </w:p>
    <w:p w14:paraId="0C46E88F">
      <w:pPr>
        <w:spacing w:line="360" w:lineRule="auto"/>
        <w:rPr>
          <w:color w:val="000000"/>
          <w:kern w:val="0"/>
          <w:sz w:val="24"/>
        </w:rPr>
      </w:pPr>
      <w:r>
        <w:rPr>
          <w:color w:val="000000"/>
          <w:kern w:val="0"/>
          <w:sz w:val="24"/>
        </w:rPr>
        <w:t>对于观察员</w:t>
      </w:r>
      <m:oMath>
        <m:r>
          <m:rPr/>
          <w:rPr>
            <w:rFonts w:ascii="Cambria Math" w:hAnsi="Cambria Math"/>
            <w:color w:val="000000"/>
            <w:kern w:val="0"/>
            <w:sz w:val="24"/>
          </w:rPr>
          <m:t>j</m:t>
        </m:r>
        <m:r>
          <m:rPr>
            <m:sty m:val="p"/>
          </m:rPr>
          <w:rPr>
            <w:rFonts w:ascii="Cambria Math" w:hAnsi="Cambria Math"/>
            <w:color w:val="000000"/>
            <w:kern w:val="0"/>
            <w:sz w:val="24"/>
          </w:rPr>
          <m:t>=1</m:t>
        </m:r>
      </m:oMath>
      <w:r>
        <w:rPr>
          <w:color w:val="000000"/>
          <w:kern w:val="0"/>
          <w:sz w:val="24"/>
        </w:rPr>
        <w:t>至</w:t>
      </w:r>
      <m:oMath>
        <m:r>
          <m:rPr/>
          <w:rPr>
            <w:rFonts w:ascii="Cambria Math" w:hAnsi="Cambria Math"/>
            <w:color w:val="000000"/>
            <w:kern w:val="0"/>
            <w:sz w:val="24"/>
          </w:rPr>
          <m:t>m</m:t>
        </m:r>
      </m:oMath>
      <w:r>
        <w:rPr>
          <w:color w:val="000000"/>
          <w:kern w:val="0"/>
          <w:sz w:val="24"/>
        </w:rPr>
        <w:t>,如果</w:t>
      </w:r>
      <m:oMath>
        <m:f>
          <m:fPr>
            <m:ctrlPr>
              <w:rPr>
                <w:rFonts w:ascii="Cambria Math" w:hAnsi="Cambria Math"/>
                <w:color w:val="000000"/>
                <w:kern w:val="0"/>
                <w:sz w:val="24"/>
              </w:rPr>
            </m:ctrlPr>
          </m:fPr>
          <m:num>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ctrlPr>
              <w:rPr>
                <w:rFonts w:ascii="Cambria Math" w:hAnsi="Cambria Math"/>
                <w:color w:val="000000"/>
                <w:kern w:val="0"/>
                <w:sz w:val="24"/>
              </w:rPr>
            </m:ctrlPr>
          </m:num>
          <m:den>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ctrlPr>
              <w:rPr>
                <w:rFonts w:ascii="Cambria Math" w:hAnsi="Cambria Math"/>
                <w:color w:val="000000"/>
                <w:kern w:val="0"/>
                <w:sz w:val="24"/>
              </w:rPr>
            </m:ctrlPr>
          </m:den>
        </m:f>
        <m:r>
          <m:rPr>
            <m:sty m:val="p"/>
          </m:rPr>
          <w:rPr>
            <w:rFonts w:ascii="Cambria Math" w:hAnsi="Cambria Math"/>
            <w:color w:val="000000"/>
            <w:kern w:val="0"/>
            <w:sz w:val="24"/>
          </w:rPr>
          <m:t>&gt;0.05</m:t>
        </m:r>
      </m:oMath>
      <w:r>
        <w:rPr>
          <w:color w:val="000000"/>
          <w:kern w:val="0"/>
          <w:sz w:val="24"/>
        </w:rPr>
        <w:t>且</w:t>
      </w:r>
      <m:oMath>
        <m:d>
          <m:dPr>
            <m:begChr m:val="|"/>
            <m:endChr m:val="|"/>
            <m:ctrlPr>
              <w:rPr>
                <w:rFonts w:ascii="Cambria Math" w:hAnsi="Cambria Math"/>
                <w:color w:val="000000"/>
                <w:kern w:val="0"/>
                <w:sz w:val="24"/>
              </w:rPr>
            </m:ctrlPr>
          </m:dPr>
          <m:e>
            <m:f>
              <m:fPr>
                <m:ctrlPr>
                  <w:rPr>
                    <w:rFonts w:ascii="Cambria Math" w:hAnsi="Cambria Math"/>
                    <w:color w:val="000000"/>
                    <w:kern w:val="0"/>
                    <w:sz w:val="24"/>
                  </w:rPr>
                </m:ctrlPr>
              </m:fPr>
              <m:num>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ctrlPr>
                  <w:rPr>
                    <w:rFonts w:ascii="Cambria Math" w:hAnsi="Cambria Math"/>
                    <w:color w:val="000000"/>
                    <w:kern w:val="0"/>
                    <w:sz w:val="24"/>
                  </w:rPr>
                </m:ctrlPr>
              </m:num>
              <m:den>
                <m:sSub>
                  <m:sSubPr>
                    <m:ctrlPr>
                      <w:rPr>
                        <w:rFonts w:ascii="Cambria Math" w:hAnsi="Cambria Math"/>
                        <w:color w:val="000000"/>
                        <w:kern w:val="0"/>
                        <w:sz w:val="24"/>
                      </w:rPr>
                    </m:ctrlPr>
                  </m:sSubPr>
                  <m:e>
                    <m:r>
                      <m:rPr/>
                      <w:rPr>
                        <w:rFonts w:ascii="Cambria Math" w:hAnsi="Cambria Math"/>
                        <w:color w:val="000000"/>
                        <w:kern w:val="0"/>
                        <w:sz w:val="24"/>
                      </w:rPr>
                      <m:t>P</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Q</m:t>
                    </m:r>
                    <m:ctrlPr>
                      <w:rPr>
                        <w:rFonts w:ascii="Cambria Math" w:hAnsi="Cambria Math"/>
                        <w:color w:val="000000"/>
                        <w:kern w:val="0"/>
                        <w:sz w:val="24"/>
                      </w:rPr>
                    </m:ctrlPr>
                  </m:e>
                  <m:sub>
                    <m:r>
                      <m:rPr/>
                      <w:rPr>
                        <w:rFonts w:ascii="Cambria Math" w:hAnsi="Cambria Math"/>
                        <w:color w:val="000000"/>
                        <w:kern w:val="0"/>
                        <w:sz w:val="24"/>
                      </w:rPr>
                      <m:t>i</m:t>
                    </m:r>
                    <m:ctrlPr>
                      <w:rPr>
                        <w:rFonts w:ascii="Cambria Math" w:hAnsi="Cambria Math"/>
                        <w:color w:val="000000"/>
                        <w:kern w:val="0"/>
                        <w:sz w:val="24"/>
                      </w:rPr>
                    </m:ctrlPr>
                  </m:sub>
                </m:sSub>
                <m:ctrlPr>
                  <w:rPr>
                    <w:rFonts w:ascii="Cambria Math" w:hAnsi="Cambria Math"/>
                    <w:color w:val="000000"/>
                    <w:kern w:val="0"/>
                    <w:sz w:val="24"/>
                  </w:rPr>
                </m:ctrlPr>
              </m:den>
            </m:f>
            <m:ctrlPr>
              <w:rPr>
                <w:rFonts w:ascii="Cambria Math" w:hAnsi="Cambria Math"/>
                <w:color w:val="000000"/>
                <w:kern w:val="0"/>
                <w:sz w:val="24"/>
              </w:rPr>
            </m:ctrlPr>
          </m:e>
        </m:d>
        <m:r>
          <m:rPr>
            <m:sty m:val="p"/>
          </m:rPr>
          <w:rPr>
            <w:rFonts w:ascii="Cambria Math" w:hAnsi="Cambria Math"/>
            <w:color w:val="000000"/>
            <w:kern w:val="0"/>
            <w:sz w:val="24"/>
          </w:rPr>
          <m:t>&lt;0.3</m:t>
        </m:r>
      </m:oMath>
      <w:r>
        <w:rPr>
          <w:color w:val="000000"/>
          <w:kern w:val="0"/>
          <w:sz w:val="24"/>
        </w:rPr>
        <w:t>,则测试人员</w:t>
      </w:r>
      <m:oMath>
        <m:r>
          <m:rPr/>
          <w:rPr>
            <w:rFonts w:ascii="Cambria Math" w:hAnsi="Cambria Math"/>
            <w:color w:val="000000"/>
            <w:kern w:val="0"/>
            <w:sz w:val="24"/>
          </w:rPr>
          <m:t>i</m:t>
        </m:r>
      </m:oMath>
      <w:r>
        <w:rPr>
          <w:color w:val="000000"/>
          <w:kern w:val="0"/>
          <w:sz w:val="24"/>
        </w:rPr>
        <w:t>打分异常，剔除其打分数据。</w:t>
      </w:r>
    </w:p>
    <w:p w14:paraId="17545F2A">
      <w:pPr>
        <w:spacing w:line="360" w:lineRule="auto"/>
        <w:rPr>
          <w:color w:val="000000"/>
          <w:kern w:val="0"/>
          <w:sz w:val="24"/>
        </w:rPr>
      </w:pPr>
      <w:r>
        <w:rPr>
          <w:color w:val="000000"/>
          <w:kern w:val="0"/>
          <w:sz w:val="24"/>
        </w:rPr>
        <w:t>式中：</w:t>
      </w:r>
    </w:p>
    <w:p w14:paraId="1AD37DFD">
      <w:pPr>
        <w:spacing w:line="360" w:lineRule="auto"/>
        <w:rPr>
          <w:color w:val="000000"/>
          <w:kern w:val="0"/>
          <w:sz w:val="24"/>
        </w:rPr>
      </w:pPr>
      <m:oMath>
        <m:r>
          <m:rPr/>
          <w:rPr>
            <w:rFonts w:ascii="Cambria Math" w:hAnsi="Cambria Math"/>
            <w:color w:val="000000"/>
            <w:kern w:val="0"/>
            <w:sz w:val="24"/>
          </w:rPr>
          <m:t>i</m:t>
        </m:r>
      </m:oMath>
      <w:r>
        <w:rPr>
          <w:color w:val="000000"/>
          <w:kern w:val="0"/>
          <w:sz w:val="24"/>
        </w:rPr>
        <w:tab/>
      </w:r>
      <w:r>
        <w:rPr>
          <w:color w:val="000000"/>
          <w:kern w:val="0"/>
          <w:sz w:val="24"/>
        </w:rPr>
        <w:tab/>
      </w:r>
      <w:r>
        <w:rPr>
          <w:color w:val="000000"/>
          <w:kern w:val="0"/>
          <w:sz w:val="24"/>
        </w:rPr>
        <w:t>—— 观察员序号；</w:t>
      </w:r>
    </w:p>
    <w:p w14:paraId="3E95216F">
      <w:pPr>
        <w:spacing w:line="360" w:lineRule="auto"/>
        <w:rPr>
          <w:color w:val="000000"/>
          <w:kern w:val="0"/>
          <w:sz w:val="24"/>
        </w:rPr>
      </w:pPr>
      <m:oMath>
        <m:r>
          <m:rPr/>
          <w:rPr>
            <w:rFonts w:ascii="Cambria Math" w:hAnsi="Cambria Math"/>
            <w:color w:val="000000"/>
            <w:kern w:val="0"/>
            <w:sz w:val="24"/>
          </w:rPr>
          <m:t>j</m:t>
        </m:r>
      </m:oMath>
      <w:r>
        <w:rPr>
          <w:color w:val="000000"/>
          <w:kern w:val="0"/>
          <w:sz w:val="24"/>
        </w:rPr>
        <w:tab/>
      </w:r>
      <w:r>
        <w:rPr>
          <w:color w:val="000000"/>
          <w:kern w:val="0"/>
          <w:sz w:val="24"/>
        </w:rPr>
        <w:tab/>
      </w:r>
      <w:r>
        <w:rPr>
          <w:color w:val="000000"/>
          <w:kern w:val="0"/>
          <w:sz w:val="24"/>
        </w:rPr>
        <w:t>—— 测试条件序号；</w:t>
      </w:r>
    </w:p>
    <w:p w14:paraId="7A3086F2">
      <w:pPr>
        <w:spacing w:line="360" w:lineRule="auto"/>
        <w:rPr>
          <w:color w:val="000000"/>
          <w:kern w:val="0"/>
          <w:sz w:val="24"/>
        </w:rPr>
      </w:pPr>
      <m:oMath>
        <m:r>
          <m:rPr/>
          <w:rPr>
            <w:rFonts w:ascii="Cambria Math" w:hAnsi="Cambria Math"/>
            <w:color w:val="000000"/>
            <w:kern w:val="0"/>
            <w:sz w:val="24"/>
          </w:rPr>
          <m:t>k</m:t>
        </m:r>
      </m:oMath>
      <w:r>
        <w:rPr>
          <w:color w:val="000000"/>
          <w:kern w:val="0"/>
          <w:sz w:val="24"/>
        </w:rPr>
        <w:tab/>
      </w:r>
      <w:r>
        <w:rPr>
          <w:color w:val="000000"/>
          <w:kern w:val="0"/>
          <w:sz w:val="24"/>
        </w:rPr>
        <w:tab/>
      </w:r>
      <w:r>
        <w:rPr>
          <w:color w:val="000000"/>
          <w:kern w:val="0"/>
          <w:sz w:val="24"/>
        </w:rPr>
        <w:t>—— 测试点云序号；</w:t>
      </w:r>
    </w:p>
    <w:p w14:paraId="32B5FA23">
      <w:pPr>
        <w:spacing w:line="360" w:lineRule="auto"/>
        <w:rPr>
          <w:color w:val="000000"/>
          <w:kern w:val="0"/>
          <w:sz w:val="24"/>
        </w:rPr>
      </w:pPr>
      <m:oMath>
        <m:r>
          <m:rPr/>
          <w:rPr>
            <w:rFonts w:ascii="Cambria Math" w:hAnsi="Cambria Math"/>
            <w:color w:val="000000"/>
            <w:kern w:val="0"/>
            <w:sz w:val="24"/>
          </w:rPr>
          <m:t>R</m:t>
        </m:r>
      </m:oMath>
      <w:r>
        <w:rPr>
          <w:color w:val="000000"/>
          <w:kern w:val="0"/>
          <w:sz w:val="24"/>
        </w:rPr>
        <w:tab/>
      </w:r>
      <w:r>
        <w:rPr>
          <w:color w:val="000000"/>
          <w:kern w:val="0"/>
          <w:sz w:val="24"/>
        </w:rPr>
        <w:tab/>
      </w:r>
      <w:r>
        <w:rPr>
          <w:color w:val="000000"/>
          <w:kern w:val="0"/>
          <w:sz w:val="24"/>
        </w:rPr>
        <w:t>—— 重复次数；</w:t>
      </w:r>
    </w:p>
    <w:p w14:paraId="0A49CCBC">
      <w:pPr>
        <w:spacing w:line="360" w:lineRule="auto"/>
        <w:rPr>
          <w:color w:val="000000"/>
          <w:kern w:val="0"/>
          <w:sz w:val="24"/>
        </w:rPr>
      </w:pPr>
      <m:oMath>
        <m:r>
          <m:rPr/>
          <w:rPr>
            <w:rFonts w:ascii="Cambria Math" w:hAnsi="Cambria Math"/>
            <w:color w:val="000000"/>
            <w:kern w:val="0"/>
            <w:sz w:val="24"/>
          </w:rPr>
          <m:t>N</m:t>
        </m:r>
      </m:oMath>
      <w:r>
        <w:rPr>
          <w:color w:val="000000"/>
          <w:kern w:val="0"/>
          <w:sz w:val="24"/>
        </w:rPr>
        <w:tab/>
      </w:r>
      <w:r>
        <w:rPr>
          <w:color w:val="000000"/>
          <w:kern w:val="0"/>
          <w:sz w:val="24"/>
        </w:rPr>
        <w:tab/>
      </w:r>
      <w:r>
        <w:rPr>
          <w:color w:val="000000"/>
          <w:kern w:val="0"/>
          <w:sz w:val="24"/>
        </w:rPr>
        <w:t>—— 观察员总数</w:t>
      </w:r>
    </w:p>
    <w:p w14:paraId="4C400EBB">
      <w:pPr>
        <w:spacing w:line="360" w:lineRule="auto"/>
        <w:rPr>
          <w:color w:val="000000"/>
          <w:kern w:val="0"/>
          <w:sz w:val="24"/>
        </w:rPr>
      </w:pPr>
      <m:oMath>
        <m:r>
          <m:rPr/>
          <w:rPr>
            <w:rFonts w:ascii="Cambria Math" w:hAnsi="Cambria Math"/>
            <w:color w:val="000000"/>
            <w:kern w:val="0"/>
            <w:sz w:val="24"/>
          </w:rPr>
          <m:t>J</m:t>
        </m:r>
      </m:oMath>
      <w:r>
        <w:rPr>
          <w:color w:val="000000"/>
          <w:kern w:val="0"/>
          <w:sz w:val="24"/>
        </w:rPr>
        <w:tab/>
      </w:r>
      <w:r>
        <w:rPr>
          <w:color w:val="000000"/>
          <w:kern w:val="0"/>
          <w:sz w:val="24"/>
        </w:rPr>
        <w:tab/>
      </w:r>
      <w:r>
        <w:rPr>
          <w:color w:val="000000"/>
          <w:kern w:val="0"/>
          <w:sz w:val="24"/>
        </w:rPr>
        <w:t>—— 测试条件的数目，包括基准在内</w:t>
      </w:r>
    </w:p>
    <w:p w14:paraId="5081EBE2">
      <w:pPr>
        <w:spacing w:line="360" w:lineRule="auto"/>
        <w:rPr>
          <w:color w:val="000000"/>
          <w:kern w:val="0"/>
          <w:sz w:val="24"/>
        </w:rPr>
      </w:pPr>
      <m:oMath>
        <m:r>
          <m:rPr/>
          <w:rPr>
            <w:rFonts w:ascii="Cambria Math" w:hAnsi="Cambria Math"/>
            <w:color w:val="000000"/>
            <w:kern w:val="0"/>
            <w:sz w:val="24"/>
          </w:rPr>
          <m:t>L</m:t>
        </m:r>
      </m:oMath>
      <w:r>
        <w:rPr>
          <w:color w:val="000000"/>
          <w:kern w:val="0"/>
          <w:sz w:val="24"/>
        </w:rPr>
        <w:tab/>
      </w:r>
      <w:r>
        <w:rPr>
          <w:color w:val="000000"/>
          <w:kern w:val="0"/>
          <w:sz w:val="24"/>
        </w:rPr>
        <w:t xml:space="preserve"> </w:t>
      </w:r>
      <w:r>
        <w:rPr>
          <w:color w:val="000000"/>
          <w:kern w:val="0"/>
          <w:sz w:val="24"/>
        </w:rPr>
        <w:tab/>
      </w:r>
      <w:r>
        <w:rPr>
          <w:color w:val="000000"/>
          <w:kern w:val="0"/>
          <w:sz w:val="24"/>
        </w:rPr>
        <w:t>—— 测试演示的次数</w:t>
      </w:r>
    </w:p>
    <w:p w14:paraId="23430FAD">
      <w:pPr>
        <w:spacing w:line="360" w:lineRule="auto"/>
        <w:rPr>
          <w:color w:val="000000"/>
          <w:kern w:val="0"/>
          <w:sz w:val="24"/>
        </w:rPr>
      </w:pP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oMath>
      <w:r>
        <w:rPr>
          <w:color w:val="000000"/>
          <w:kern w:val="0"/>
          <w:sz w:val="24"/>
        </w:rPr>
        <w:tab/>
      </w:r>
      <w:r>
        <w:rPr>
          <w:color w:val="000000"/>
          <w:kern w:val="0"/>
          <w:sz w:val="24"/>
        </w:rPr>
        <w:t>—— 第</w:t>
      </w:r>
      <m:oMath>
        <m:r>
          <m:rPr/>
          <w:rPr>
            <w:rFonts w:ascii="Cambria Math" w:hAnsi="Cambria Math"/>
            <w:color w:val="000000"/>
            <w:kern w:val="0"/>
            <w:sz w:val="24"/>
          </w:rPr>
          <m:t>i</m:t>
        </m:r>
      </m:oMath>
      <w:r>
        <w:rPr>
          <w:color w:val="000000"/>
          <w:kern w:val="0"/>
          <w:sz w:val="24"/>
        </w:rPr>
        <w:t>个观察员在测试条件</w:t>
      </w:r>
      <m:oMath>
        <m:r>
          <m:rPr/>
          <w:rPr>
            <w:rFonts w:ascii="Cambria Math" w:hAnsi="Cambria Math"/>
            <w:color w:val="000000"/>
            <w:kern w:val="0"/>
            <w:sz w:val="24"/>
          </w:rPr>
          <m:t>j</m:t>
        </m:r>
      </m:oMath>
      <w:r>
        <w:rPr>
          <w:color w:val="000000"/>
          <w:kern w:val="0"/>
          <w:sz w:val="24"/>
        </w:rPr>
        <w:t>下对第</w:t>
      </w:r>
      <m:oMath>
        <m:r>
          <m:rPr/>
          <w:rPr>
            <w:rFonts w:ascii="Cambria Math" w:hAnsi="Cambria Math"/>
            <w:color w:val="000000"/>
            <w:kern w:val="0"/>
            <w:sz w:val="24"/>
          </w:rPr>
          <m:t>k</m:t>
        </m:r>
      </m:oMath>
      <w:r>
        <w:rPr>
          <w:color w:val="000000"/>
          <w:kern w:val="0"/>
          <w:sz w:val="24"/>
        </w:rPr>
        <w:t>个测试序列/点云，重复</w:t>
      </w:r>
      <m:oMath>
        <m:r>
          <m:rPr/>
          <w:rPr>
            <w:rFonts w:ascii="Cambria Math" w:hAnsi="Cambria Math"/>
            <w:color w:val="000000"/>
            <w:kern w:val="0"/>
            <w:sz w:val="24"/>
          </w:rPr>
          <m:t>r</m:t>
        </m:r>
      </m:oMath>
      <w:r>
        <w:rPr>
          <w:color w:val="000000"/>
          <w:kern w:val="0"/>
          <w:sz w:val="24"/>
        </w:rPr>
        <w:t>次情况下的得分；</w:t>
      </w:r>
    </w:p>
    <w:p w14:paraId="5EBD19C4">
      <w:pPr>
        <w:spacing w:line="360" w:lineRule="auto"/>
        <w:rPr>
          <w:color w:val="000000"/>
          <w:kern w:val="0"/>
          <w:sz w:val="24"/>
        </w:rPr>
      </w:pPr>
      <m:oMath>
        <m:sSub>
          <m:sSubPr>
            <m:ctrlPr>
              <w:rPr>
                <w:rFonts w:ascii="Cambria Math" w:hAnsi="Cambria Math"/>
                <w:color w:val="000000"/>
                <w:kern w:val="0"/>
                <w:sz w:val="24"/>
              </w:rPr>
            </m:ctrlPr>
          </m:sSubPr>
          <m:e>
            <m:bar>
              <m:barPr>
                <m:pos m:val="top"/>
                <m:ctrlPr>
                  <w:rPr>
                    <w:rFonts w:ascii="Cambria Math" w:hAnsi="Cambria Math"/>
                    <w:color w:val="000000"/>
                    <w:kern w:val="0"/>
                    <w:sz w:val="24"/>
                  </w:rPr>
                </m:ctrlPr>
              </m:barPr>
              <m:e>
                <m:r>
                  <m:rPr/>
                  <w:rPr>
                    <w:rFonts w:ascii="Cambria Math" w:hAnsi="Cambria Math"/>
                    <w:color w:val="000000"/>
                    <w:kern w:val="0"/>
                    <w:sz w:val="24"/>
                  </w:rPr>
                  <m:t>μ</m:t>
                </m:r>
                <m:ctrlPr>
                  <w:rPr>
                    <w:rFonts w:ascii="Cambria Math" w:hAnsi="Cambria Math"/>
                    <w:color w:val="000000"/>
                    <w:kern w:val="0"/>
                    <w:sz w:val="24"/>
                  </w:rPr>
                </m:ctrlPr>
              </m:e>
            </m:ba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ab/>
      </w:r>
      <w:r>
        <w:rPr>
          <w:color w:val="000000"/>
          <w:kern w:val="0"/>
          <w:sz w:val="24"/>
        </w:rPr>
        <w:tab/>
      </w:r>
      <w:r>
        <w:rPr>
          <w:color w:val="000000"/>
          <w:kern w:val="0"/>
          <w:sz w:val="24"/>
        </w:rPr>
        <w:t>—— 得分均值；</w:t>
      </w:r>
    </w:p>
    <w:p w14:paraId="17925DB4">
      <w:pPr>
        <w:spacing w:line="360" w:lineRule="auto"/>
        <w:rPr>
          <w:color w:val="000000"/>
          <w:kern w:val="0"/>
          <w:sz w:val="24"/>
        </w:rPr>
      </w:pPr>
      <m:oMath>
        <m:sSub>
          <m:sSubPr>
            <m:ctrlPr>
              <w:rPr>
                <w:rFonts w:ascii="Cambria Math" w:hAnsi="Cambria Math"/>
                <w:color w:val="000000"/>
                <w:kern w:val="0"/>
                <w:sz w:val="24"/>
              </w:rPr>
            </m:ctrlPr>
          </m:sSubPr>
          <m:e>
            <m:r>
              <m:rPr/>
              <w:rPr>
                <w:rFonts w:ascii="Cambria Math" w:hAnsi="Cambria Math"/>
                <w:color w:val="000000"/>
                <w:kern w:val="0"/>
                <w:sz w:val="24"/>
              </w:rPr>
              <m:t>β</m:t>
            </m:r>
            <m:ctrlPr>
              <w:rPr>
                <w:rFonts w:ascii="Cambria Math" w:hAnsi="Cambria Math"/>
                <w:color w:val="000000"/>
                <w:kern w:val="0"/>
                <w:sz w:val="24"/>
              </w:rPr>
            </m:ctrlPr>
          </m:e>
          <m:sub>
            <m:r>
              <m:rPr>
                <m:sty m:val="p"/>
              </m:rPr>
              <w:rPr>
                <w:rFonts w:ascii="Cambria Math" w:hAnsi="Cambria Math"/>
                <w:color w:val="000000"/>
                <w:kern w:val="0"/>
                <w:sz w:val="24"/>
              </w:rPr>
              <m:t>2</m:t>
            </m:r>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ab/>
      </w:r>
      <w:r>
        <w:rPr>
          <w:color w:val="000000"/>
          <w:kern w:val="0"/>
          <w:sz w:val="24"/>
        </w:rPr>
        <w:t>—— 得分峰态系数；</w:t>
      </w:r>
    </w:p>
    <w:p w14:paraId="540365A9">
      <w:pPr>
        <w:spacing w:line="360" w:lineRule="auto"/>
        <w:rPr>
          <w:color w:val="000000"/>
          <w:kern w:val="0"/>
          <w:sz w:val="24"/>
        </w:rPr>
      </w:pPr>
      <m:oMath>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oMath>
      <w:r>
        <w:rPr>
          <w:color w:val="000000"/>
          <w:kern w:val="0"/>
          <w:sz w:val="24"/>
        </w:rPr>
        <w:tab/>
      </w:r>
      <w:r>
        <w:rPr>
          <w:color w:val="000000"/>
          <w:kern w:val="0"/>
          <w:sz w:val="24"/>
        </w:rPr>
        <w:tab/>
      </w:r>
      <w:r>
        <w:rPr>
          <w:color w:val="000000"/>
          <w:kern w:val="0"/>
          <w:sz w:val="24"/>
        </w:rPr>
        <w:t>—— 得分标准差</w:t>
      </w:r>
    </w:p>
    <w:p w14:paraId="745C46CC">
      <w:pPr>
        <w:spacing w:line="360" w:lineRule="auto"/>
        <w:rPr>
          <w:color w:val="000000"/>
          <w:kern w:val="0"/>
          <w:sz w:val="24"/>
        </w:rPr>
      </w:pPr>
      <w:bookmarkStart w:id="7" w:name="_Toc140653848"/>
      <w:r>
        <w:rPr>
          <w:color w:val="000000"/>
          <w:kern w:val="0"/>
          <w:sz w:val="24"/>
        </w:rPr>
        <w:t>对于主观分数计算</w:t>
      </w:r>
      <w:bookmarkEnd w:id="7"/>
      <w:r>
        <w:rPr>
          <w:color w:val="000000"/>
          <w:kern w:val="0"/>
          <w:sz w:val="24"/>
        </w:rPr>
        <w:t>，有两种方法，即无隐参考和有隐参考：</w:t>
      </w:r>
    </w:p>
    <w:p w14:paraId="1314E8A3">
      <w:pPr>
        <w:spacing w:line="360" w:lineRule="auto"/>
        <w:rPr>
          <w:color w:val="000000"/>
          <w:kern w:val="0"/>
          <w:sz w:val="24"/>
        </w:rPr>
      </w:pPr>
      <w:r>
        <w:rPr>
          <w:color w:val="000000"/>
          <w:kern w:val="0"/>
          <w:sz w:val="24"/>
        </w:rPr>
        <w:t>若未使用隐参考，按下式计算每一待测样本的平均质量分数 (MOS)。</w:t>
      </w:r>
    </w:p>
    <w:p w14:paraId="242D77AE">
      <w:pPr>
        <w:spacing w:line="360" w:lineRule="auto"/>
        <w:rPr>
          <w:color w:val="000000"/>
          <w:kern w:val="0"/>
          <w:sz w:val="24"/>
        </w:rPr>
      </w:pPr>
      <m:oMathPara>
        <m:oMath>
          <m:sSub>
            <m:sSubPr>
              <m:ctrlPr>
                <w:rPr>
                  <w:rFonts w:ascii="Cambria Math" w:hAnsi="Cambria Math"/>
                  <w:color w:val="000000"/>
                  <w:kern w:val="0"/>
                  <w:sz w:val="24"/>
                </w:rPr>
              </m:ctrlPr>
            </m:sSubPr>
            <m:e>
              <m:r>
                <m:rPr>
                  <m:nor/>
                  <m:sty m:val="p"/>
                </m:rPr>
                <w:rPr>
                  <w:color w:val="000000"/>
                  <w:kern w:val="0"/>
                  <w:sz w:val="24"/>
                </w:rPr>
                <m:t>MOS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f>
            <m:fPr>
              <m:ctrlPr>
                <w:rPr>
                  <w:rFonts w:ascii="Cambria Math" w:hAnsi="Cambria Math"/>
                  <w:color w:val="000000"/>
                  <w:kern w:val="0"/>
                  <w:sz w:val="24"/>
                </w:rPr>
              </m:ctrlPr>
            </m:fPr>
            <m:num>
              <m:r>
                <m:rPr>
                  <m:sty m:val="p"/>
                </m:rPr>
                <w:rPr>
                  <w:rFonts w:ascii="Cambria Math" w:hAnsi="Cambria Math"/>
                  <w:color w:val="000000"/>
                  <w:kern w:val="0"/>
                  <w:sz w:val="24"/>
                </w:rPr>
                <m:t>1</m:t>
              </m:r>
              <m:ctrlPr>
                <w:rPr>
                  <w:rFonts w:ascii="Cambria Math" w:hAnsi="Cambria Math"/>
                  <w:color w:val="000000"/>
                  <w:kern w:val="0"/>
                  <w:sz w:val="24"/>
                </w:rPr>
              </m:ctrlPr>
            </m:num>
            <m:den>
              <m:r>
                <m:rPr/>
                <w:rPr>
                  <w:rFonts w:ascii="Cambria Math" w:hAnsi="Cambria Math"/>
                  <w:color w:val="000000"/>
                  <w:kern w:val="0"/>
                  <w:sz w:val="24"/>
                </w:rPr>
                <m:t>N</m:t>
              </m:r>
              <m:ctrlPr>
                <w:rPr>
                  <w:rFonts w:ascii="Cambria Math" w:hAnsi="Cambria Math"/>
                  <w:color w:val="000000"/>
                  <w:kern w:val="0"/>
                  <w:sz w:val="24"/>
                </w:rPr>
              </m:ctrlPr>
            </m:den>
          </m:f>
          <m:nary>
            <m:naryPr>
              <m:chr m:val="∑"/>
              <m:ctrlPr>
                <w:rPr>
                  <w:rFonts w:ascii="Cambria Math" w:hAnsi="Cambria Math"/>
                  <w:color w:val="000000"/>
                  <w:kern w:val="0"/>
                  <w:sz w:val="24"/>
                </w:rPr>
              </m:ctrlPr>
            </m:naryPr>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e>
              <m:sSub>
                <m:sSubPr>
                  <m:ctrlPr>
                    <w:rPr>
                      <w:rFonts w:ascii="Cambria Math" w:hAnsi="Cambria Math"/>
                      <w:color w:val="000000"/>
                      <w:kern w:val="0"/>
                      <w:sz w:val="24"/>
                    </w:rPr>
                  </m:ctrlPr>
                </m:sSubPr>
                <m:e>
                  <m:r>
                    <m:rPr>
                      <m:sty m:val="p"/>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ctrlPr>
                <w:rPr>
                  <w:rFonts w:ascii="Cambria Math" w:hAnsi="Cambria Math"/>
                  <w:color w:val="000000"/>
                  <w:kern w:val="0"/>
                  <w:sz w:val="24"/>
                </w:rPr>
              </m:ctrlPr>
            </m:e>
          </m:nary>
          <m:r>
            <m:rPr>
              <m:sty m:val="p"/>
            </m:rPr>
            <w:rPr>
              <w:rFonts w:ascii="Cambria Math" w:hAnsi="Cambria Math"/>
              <w:color w:val="000000"/>
              <w:kern w:val="0"/>
              <w:sz w:val="24"/>
            </w:rPr>
            <m:t> </m:t>
          </m:r>
        </m:oMath>
      </m:oMathPara>
    </w:p>
    <w:p w14:paraId="7F55061B">
      <w:pPr>
        <w:spacing w:line="360" w:lineRule="auto"/>
        <w:rPr>
          <w:color w:val="000000"/>
          <w:kern w:val="0"/>
          <w:sz w:val="24"/>
        </w:rPr>
      </w:pPr>
      <w:r>
        <w:rPr>
          <w:color w:val="000000"/>
          <w:kern w:val="0"/>
          <w:sz w:val="24"/>
        </w:rPr>
        <w:t>其中：</w:t>
      </w:r>
    </w:p>
    <w:p w14:paraId="7BD826FA">
      <w:pPr>
        <w:spacing w:line="360" w:lineRule="auto"/>
        <w:rPr>
          <w:color w:val="000000"/>
          <w:kern w:val="0"/>
          <w:sz w:val="24"/>
        </w:rPr>
      </w:pPr>
      <m:oMath>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oMath>
      <w:r>
        <w:rPr>
          <w:color w:val="000000"/>
          <w:kern w:val="0"/>
          <w:sz w:val="24"/>
        </w:rPr>
        <w:tab/>
      </w:r>
      <w:r>
        <w:rPr>
          <w:color w:val="000000"/>
          <w:kern w:val="0"/>
          <w:sz w:val="24"/>
        </w:rPr>
        <w:t>—— 观看员</w:t>
      </w:r>
      <m:oMath>
        <m:r>
          <m:rPr/>
          <w:rPr>
            <w:rFonts w:ascii="Cambria Math" w:hAnsi="Cambria Math"/>
            <w:color w:val="000000"/>
            <w:kern w:val="0"/>
            <w:sz w:val="24"/>
          </w:rPr>
          <m:t>i</m:t>
        </m:r>
      </m:oMath>
      <w:r>
        <w:rPr>
          <w:color w:val="000000"/>
          <w:kern w:val="0"/>
          <w:sz w:val="24"/>
        </w:rPr>
        <w:t xml:space="preserve">在测试条件 </w:t>
      </w:r>
      <m:oMath>
        <m:r>
          <m:rPr/>
          <w:rPr>
            <w:rFonts w:ascii="Cambria Math" w:hAnsi="Cambria Math"/>
            <w:color w:val="000000"/>
            <w:kern w:val="0"/>
            <w:sz w:val="24"/>
          </w:rPr>
          <m:t>j</m:t>
        </m:r>
      </m:oMath>
      <w:r>
        <w:rPr>
          <w:color w:val="000000"/>
          <w:kern w:val="0"/>
          <w:sz w:val="24"/>
        </w:rPr>
        <w:t xml:space="preserve"> 、测试序列/测试点云 </w:t>
      </w:r>
      <m:oMath>
        <m:r>
          <m:rPr/>
          <w:rPr>
            <w:rFonts w:ascii="Cambria Math" w:hAnsi="Cambria Math"/>
            <w:color w:val="000000"/>
            <w:kern w:val="0"/>
            <w:sz w:val="24"/>
          </w:rPr>
          <m:t>k</m:t>
        </m:r>
      </m:oMath>
      <w:r>
        <w:rPr>
          <w:color w:val="000000"/>
          <w:kern w:val="0"/>
          <w:sz w:val="24"/>
        </w:rPr>
        <w:t xml:space="preserve"> 、重复</w:t>
      </w:r>
      <m:oMath>
        <m:r>
          <m:rPr/>
          <w:rPr>
            <w:rFonts w:ascii="Cambria Math" w:hAnsi="Cambria Math"/>
            <w:color w:val="000000"/>
            <w:kern w:val="0"/>
            <w:sz w:val="24"/>
          </w:rPr>
          <m:t>r</m:t>
        </m:r>
      </m:oMath>
      <w:r>
        <w:rPr>
          <w:color w:val="000000"/>
          <w:kern w:val="0"/>
          <w:sz w:val="24"/>
        </w:rPr>
        <w:t xml:space="preserve">次情况下的评分； </w:t>
      </w:r>
    </w:p>
    <w:p w14:paraId="2E5C37B0">
      <w:pPr>
        <w:spacing w:line="360" w:lineRule="auto"/>
        <w:rPr>
          <w:color w:val="000000"/>
          <w:kern w:val="0"/>
          <w:sz w:val="24"/>
        </w:rPr>
      </w:pPr>
      <m:oMath>
        <m:r>
          <m:rPr/>
          <w:rPr>
            <w:rFonts w:ascii="Cambria Math" w:hAnsi="Cambria Math"/>
            <w:color w:val="000000"/>
            <w:kern w:val="0"/>
            <w:sz w:val="24"/>
          </w:rPr>
          <m:t>N</m:t>
        </m:r>
      </m:oMath>
      <w:r>
        <w:rPr>
          <w:color w:val="000000"/>
          <w:kern w:val="0"/>
          <w:sz w:val="24"/>
        </w:rPr>
        <w:tab/>
      </w:r>
      <w:r>
        <w:rPr>
          <w:color w:val="000000"/>
          <w:kern w:val="0"/>
          <w:sz w:val="24"/>
        </w:rPr>
        <w:tab/>
      </w:r>
      <w:r>
        <w:rPr>
          <w:color w:val="000000"/>
          <w:kern w:val="0"/>
          <w:sz w:val="24"/>
        </w:rPr>
        <w:t xml:space="preserve">—— 观看员数量。 </w:t>
      </w:r>
    </w:p>
    <w:p w14:paraId="22D11FF3">
      <w:pPr>
        <w:spacing w:line="360" w:lineRule="auto"/>
        <w:rPr>
          <w:color w:val="000000"/>
          <w:kern w:val="0"/>
          <w:sz w:val="24"/>
        </w:rPr>
      </w:pPr>
      <w:r>
        <w:rPr>
          <w:color w:val="000000"/>
          <w:kern w:val="0"/>
          <w:sz w:val="24"/>
        </w:rPr>
        <w:t>分数越高，视觉质量越好。</w:t>
      </w:r>
    </w:p>
    <w:p w14:paraId="230FEA85">
      <w:pPr>
        <w:spacing w:line="360" w:lineRule="auto"/>
        <w:rPr>
          <w:color w:val="000000"/>
          <w:kern w:val="0"/>
          <w:sz w:val="24"/>
        </w:rPr>
      </w:pPr>
      <w:r>
        <w:rPr>
          <w:color w:val="000000"/>
          <w:kern w:val="0"/>
          <w:sz w:val="24"/>
        </w:rPr>
        <w:t>对于有隐参考的情况，首先按下式计算测试点云</w:t>
      </w:r>
      <m:oMath>
        <m:sSub>
          <m:sSubPr>
            <m:ctrlPr>
              <w:rPr>
                <w:rFonts w:ascii="Cambria Math" w:hAnsi="Cambria Math"/>
                <w:color w:val="000000"/>
                <w:kern w:val="0"/>
                <w:sz w:val="24"/>
              </w:rPr>
            </m:ctrlPr>
          </m:sSubPr>
          <m:e>
            <m:r>
              <m:rPr/>
              <w:rPr>
                <w:rFonts w:ascii="Cambria Math" w:hAnsi="Cambria Math"/>
                <w:color w:val="000000"/>
                <w:kern w:val="0"/>
                <w:sz w:val="24"/>
              </w:rPr>
              <m:t>I</m:t>
            </m:r>
            <m:ctrlPr>
              <w:rPr>
                <w:rFonts w:ascii="Cambria Math" w:hAnsi="Cambria Math"/>
                <w:color w:val="000000"/>
                <w:kern w:val="0"/>
                <w:sz w:val="24"/>
              </w:rPr>
            </m:ctrlPr>
          </m:e>
          <m:sub>
            <m:r>
              <m:rPr/>
              <w:rPr>
                <w:rFonts w:ascii="Cambria Math" w:hAnsi="Cambria Math"/>
                <w:color w:val="000000"/>
                <w:kern w:val="0"/>
                <w:sz w:val="24"/>
              </w:rPr>
              <m:t>jk</m:t>
            </m:r>
            <m:ctrlPr>
              <w:rPr>
                <w:rFonts w:ascii="Cambria Math" w:hAnsi="Cambria Math"/>
                <w:color w:val="000000"/>
                <w:kern w:val="0"/>
                <w:sz w:val="24"/>
              </w:rPr>
            </m:ctrlPr>
          </m:sub>
        </m:sSub>
      </m:oMath>
      <w:r>
        <w:rPr>
          <w:color w:val="000000"/>
          <w:kern w:val="0"/>
          <w:sz w:val="24"/>
        </w:rPr>
        <w:t>与其对应的源点云</w:t>
      </w:r>
      <m:oMath>
        <m:sSub>
          <m:sSubPr>
            <m:ctrlPr>
              <w:rPr>
                <w:rFonts w:ascii="Cambria Math" w:hAnsi="Cambria Math"/>
                <w:color w:val="000000"/>
                <w:kern w:val="0"/>
                <w:sz w:val="24"/>
              </w:rPr>
            </m:ctrlPr>
          </m:sSubPr>
          <m:e>
            <m:r>
              <m:rPr/>
              <w:rPr>
                <w:rFonts w:ascii="Cambria Math" w:hAnsi="Cambria Math"/>
                <w:color w:val="000000"/>
                <w:kern w:val="0"/>
                <w:sz w:val="24"/>
              </w:rPr>
              <m:t>I</m:t>
            </m:r>
            <m:ctrlPr>
              <w:rPr>
                <w:rFonts w:ascii="Cambria Math" w:hAnsi="Cambria Math"/>
                <w:color w:val="000000"/>
                <w:kern w:val="0"/>
                <w:sz w:val="24"/>
              </w:rPr>
            </m:ctrlPr>
          </m:e>
          <m:sub>
            <m:sSub>
              <m:sSubPr>
                <m:ctrlPr>
                  <w:rPr>
                    <w:rFonts w:ascii="Cambria Math" w:hAnsi="Cambria Math"/>
                    <w:color w:val="000000"/>
                    <w:kern w:val="0"/>
                    <w:sz w:val="24"/>
                  </w:rPr>
                </m:ctrlPr>
              </m:sSubPr>
              <m:e>
                <m:r>
                  <m:rPr/>
                  <w:rPr>
                    <w:rFonts w:ascii="Cambria Math" w:hAnsi="Cambria Math"/>
                    <w:color w:val="000000"/>
                    <w:kern w:val="0"/>
                    <w:sz w:val="24"/>
                  </w:rPr>
                  <m:t>jk</m:t>
                </m:r>
                <m:ctrlPr>
                  <w:rPr>
                    <w:rFonts w:ascii="Cambria Math" w:hAnsi="Cambria Math"/>
                    <w:color w:val="000000"/>
                    <w:kern w:val="0"/>
                    <w:sz w:val="24"/>
                  </w:rPr>
                </m:ctrlPr>
              </m:e>
              <m:sub>
                <m:r>
                  <m:rPr/>
                  <w:rPr>
                    <w:rFonts w:ascii="Cambria Math" w:hAnsi="Cambria Math"/>
                    <w:color w:val="000000"/>
                    <w:kern w:val="0"/>
                    <w:sz w:val="24"/>
                  </w:rPr>
                  <m:t>ref</m:t>
                </m:r>
                <m:ctrlPr>
                  <w:rPr>
                    <w:rFonts w:ascii="Cambria Math" w:hAnsi="Cambria Math"/>
                    <w:color w:val="000000"/>
                    <w:kern w:val="0"/>
                    <w:sz w:val="24"/>
                  </w:rPr>
                </m:ctrlPr>
              </m:sub>
            </m:sSub>
            <m:ctrlPr>
              <w:rPr>
                <w:rFonts w:ascii="Cambria Math" w:hAnsi="Cambria Math"/>
                <w:color w:val="000000"/>
                <w:kern w:val="0"/>
                <w:sz w:val="24"/>
              </w:rPr>
            </m:ctrlPr>
          </m:sub>
        </m:sSub>
      </m:oMath>
      <w:r>
        <w:rPr>
          <w:color w:val="000000"/>
          <w:kern w:val="0"/>
          <w:sz w:val="24"/>
        </w:rPr>
        <w:t>之间的差异质量分数</w:t>
      </w:r>
      <m:oMath>
        <m:sSub>
          <m:sSubPr>
            <m:ctrlPr>
              <w:rPr>
                <w:rFonts w:ascii="Cambria Math" w:hAnsi="Cambria Math"/>
                <w:color w:val="000000"/>
                <w:kern w:val="0"/>
                <w:sz w:val="24"/>
              </w:rPr>
            </m:ctrlPr>
          </m:sSubPr>
          <m:e>
            <m:r>
              <m:rPr/>
              <w:rPr>
                <w:rFonts w:ascii="Cambria Math" w:hAnsi="Cambria Math"/>
                <w:color w:val="000000"/>
                <w:kern w:val="0"/>
                <w:sz w:val="24"/>
              </w:rPr>
              <m:t>d</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oMath>
      <w:r>
        <w:rPr>
          <w:color w:val="000000"/>
          <w:kern w:val="0"/>
          <w:sz w:val="24"/>
        </w:rPr>
        <w:t>，</w:t>
      </w:r>
    </w:p>
    <w:p w14:paraId="34A4A31E">
      <w:pPr>
        <w:spacing w:line="360" w:lineRule="auto"/>
        <w:rPr>
          <w:color w:val="000000"/>
          <w:kern w:val="0"/>
          <w:sz w:val="24"/>
        </w:rPr>
      </w:pPr>
      <m:oMathPara>
        <m:oMath>
          <m:sSub>
            <m:sSubPr>
              <m:ctrlPr>
                <w:rPr>
                  <w:rFonts w:ascii="Cambria Math" w:hAnsi="Cambria Math"/>
                  <w:color w:val="000000"/>
                  <w:kern w:val="0"/>
                  <w:sz w:val="24"/>
                </w:rPr>
              </m:ctrlPr>
            </m:sSubPr>
            <m:e>
              <m:r>
                <m:rPr/>
                <w:rPr>
                  <w:rFonts w:ascii="Cambria Math" w:hAnsi="Cambria Math"/>
                  <w:color w:val="000000"/>
                  <w:kern w:val="0"/>
                  <w:sz w:val="24"/>
                </w:rPr>
                <m:t>d</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m:t>
              </m:r>
              <m:sSub>
                <m:sSubPr>
                  <m:ctrlPr>
                    <w:rPr>
                      <w:rFonts w:ascii="Cambria Math" w:hAnsi="Cambria Math"/>
                      <w:color w:val="000000"/>
                      <w:kern w:val="0"/>
                      <w:sz w:val="24"/>
                    </w:rPr>
                  </m:ctrlPr>
                </m:sSubPr>
                <m:e>
                  <m:r>
                    <m:rPr/>
                    <w:rPr>
                      <w:rFonts w:ascii="Cambria Math" w:hAnsi="Cambria Math"/>
                      <w:color w:val="000000"/>
                      <w:kern w:val="0"/>
                      <w:sz w:val="24"/>
                    </w:rPr>
                    <m:t>r</m:t>
                  </m:r>
                  <m:ctrlPr>
                    <w:rPr>
                      <w:rFonts w:ascii="Cambria Math" w:hAnsi="Cambria Math"/>
                      <w:color w:val="000000"/>
                      <w:kern w:val="0"/>
                      <w:sz w:val="24"/>
                    </w:rPr>
                  </m:ctrlPr>
                </m:e>
                <m:sub>
                  <m:r>
                    <m:rPr/>
                    <w:rPr>
                      <w:rFonts w:ascii="Cambria Math" w:hAnsi="Cambria Math"/>
                      <w:color w:val="000000"/>
                      <w:kern w:val="0"/>
                      <w:sz w:val="24"/>
                    </w:rPr>
                    <m:t>ref</m:t>
                  </m:r>
                  <m:ctrlPr>
                    <w:rPr>
                      <w:rFonts w:ascii="Cambria Math" w:hAnsi="Cambria Math"/>
                      <w:color w:val="000000"/>
                      <w:kern w:val="0"/>
                      <w:sz w:val="24"/>
                    </w:rPr>
                  </m:ctrlPr>
                </m:sub>
              </m:sSub>
              <m:ctrlPr>
                <w:rPr>
                  <w:rFonts w:ascii="Cambria Math" w:hAnsi="Cambria Math"/>
                  <w:color w:val="000000"/>
                  <w:kern w:val="0"/>
                  <w:sz w:val="24"/>
                </w:rPr>
              </m:ctrlPr>
            </m:sub>
          </m:sSub>
          <m:r>
            <m:rPr>
              <m:sty m:val="p"/>
            </m:rPr>
            <w:rPr>
              <w:rFonts w:ascii="Cambria Math" w:hAnsi="Cambria Math"/>
              <w:color w:val="000000"/>
              <w:kern w:val="0"/>
              <w:sz w:val="24"/>
            </w:rPr>
            <m:t>+5</m:t>
          </m:r>
        </m:oMath>
      </m:oMathPara>
    </w:p>
    <w:p w14:paraId="2B129595">
      <w:pPr>
        <w:spacing w:line="360" w:lineRule="auto"/>
        <w:rPr>
          <w:color w:val="000000"/>
          <w:kern w:val="0"/>
          <w:sz w:val="24"/>
        </w:rPr>
      </w:pPr>
      <w:r>
        <w:rPr>
          <w:color w:val="000000"/>
          <w:kern w:val="0"/>
          <w:sz w:val="24"/>
        </w:rPr>
        <w:t>其次，按下式计算每一显示片段的平均差异质量分数（DMOS）。分数越高，视觉质量越好。</w:t>
      </w:r>
    </w:p>
    <w:p w14:paraId="03014D40">
      <w:pPr>
        <w:spacing w:line="360" w:lineRule="auto"/>
        <w:rPr>
          <w:color w:val="000000"/>
          <w:kern w:val="0"/>
          <w:sz w:val="24"/>
        </w:rPr>
      </w:pPr>
      <m:oMathPara>
        <m:oMath>
          <m:r>
            <m:rPr>
              <m:sty m:val="p"/>
            </m:rPr>
            <w:rPr>
              <w:rFonts w:ascii="Cambria Math" w:hAnsi="Cambria Math"/>
              <w:color w:val="000000"/>
              <w:kern w:val="0"/>
              <w:sz w:val="24"/>
            </w:rPr>
            <m:t>DMO</m:t>
          </m:r>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f>
            <m:fPr>
              <m:ctrlPr>
                <w:rPr>
                  <w:rFonts w:ascii="Cambria Math" w:hAnsi="Cambria Math"/>
                  <w:color w:val="000000"/>
                  <w:kern w:val="0"/>
                  <w:sz w:val="24"/>
                </w:rPr>
              </m:ctrlPr>
            </m:fPr>
            <m:num>
              <m:r>
                <m:rPr>
                  <m:sty m:val="p"/>
                </m:rPr>
                <w:rPr>
                  <w:rFonts w:ascii="Cambria Math" w:hAnsi="Cambria Math"/>
                  <w:color w:val="000000"/>
                  <w:kern w:val="0"/>
                  <w:sz w:val="24"/>
                </w:rPr>
                <m:t>1</m:t>
              </m:r>
              <m:ctrlPr>
                <w:rPr>
                  <w:rFonts w:ascii="Cambria Math" w:hAnsi="Cambria Math"/>
                  <w:color w:val="000000"/>
                  <w:kern w:val="0"/>
                  <w:sz w:val="24"/>
                </w:rPr>
              </m:ctrlPr>
            </m:num>
            <m:den>
              <m:r>
                <m:rPr/>
                <w:rPr>
                  <w:rFonts w:ascii="Cambria Math" w:hAnsi="Cambria Math"/>
                  <w:color w:val="000000"/>
                  <w:kern w:val="0"/>
                  <w:sz w:val="24"/>
                </w:rPr>
                <m:t>N</m:t>
              </m:r>
              <m:ctrlPr>
                <w:rPr>
                  <w:rFonts w:ascii="Cambria Math" w:hAnsi="Cambria Math"/>
                  <w:color w:val="000000"/>
                  <w:kern w:val="0"/>
                  <w:sz w:val="24"/>
                </w:rPr>
              </m:ctrlPr>
            </m:den>
          </m:f>
          <m:nary>
            <m:naryPr>
              <m:chr m:val="∑"/>
              <m:ctrlPr>
                <w:rPr>
                  <w:rFonts w:ascii="Cambria Math" w:hAnsi="Cambria Math"/>
                  <w:color w:val="000000"/>
                  <w:kern w:val="0"/>
                  <w:sz w:val="24"/>
                </w:rPr>
              </m:ctrlPr>
            </m:naryPr>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e>
              <m:sSub>
                <m:sSubPr>
                  <m:ctrlPr>
                    <w:rPr>
                      <w:rFonts w:ascii="Cambria Math" w:hAnsi="Cambria Math"/>
                      <w:color w:val="000000"/>
                      <w:kern w:val="0"/>
                      <w:sz w:val="24"/>
                    </w:rPr>
                  </m:ctrlPr>
                </m:sSubPr>
                <m:e>
                  <m:r>
                    <m:rPr/>
                    <w:rPr>
                      <w:rFonts w:ascii="Cambria Math" w:hAnsi="Cambria Math"/>
                      <w:color w:val="000000"/>
                      <w:kern w:val="0"/>
                      <w:sz w:val="24"/>
                    </w:rPr>
                    <m:t>d</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ctrlPr>
                <w:rPr>
                  <w:rFonts w:ascii="Cambria Math" w:hAnsi="Cambria Math"/>
                  <w:color w:val="000000"/>
                  <w:kern w:val="0"/>
                  <w:sz w:val="24"/>
                </w:rPr>
              </m:ctrlPr>
            </m:e>
          </m:nary>
        </m:oMath>
      </m:oMathPara>
    </w:p>
    <w:p w14:paraId="03DD221D">
      <w:pPr>
        <w:spacing w:line="360" w:lineRule="auto"/>
        <w:rPr>
          <w:color w:val="000000"/>
          <w:kern w:val="0"/>
          <w:sz w:val="24"/>
        </w:rPr>
      </w:pPr>
      <w:r>
        <w:rPr>
          <w:color w:val="000000"/>
          <w:kern w:val="0"/>
          <w:sz w:val="24"/>
        </w:rPr>
        <w:t>置信区间计算的计算依赖于主观分数类别，若得到的是MOS分数，置信区间CI为：</w:t>
      </w:r>
    </w:p>
    <w:p w14:paraId="557268C8">
      <w:pPr>
        <w:spacing w:line="360" w:lineRule="auto"/>
        <w:rPr>
          <w:color w:val="000000"/>
          <w:kern w:val="0"/>
          <w:sz w:val="24"/>
        </w:rPr>
      </w:pPr>
      <m:oMath>
        <m:sSub>
          <m:sSubPr>
            <m:ctrlPr>
              <w:rPr>
                <w:rFonts w:ascii="Cambria Math" w:hAnsi="Cambria Math"/>
                <w:color w:val="000000"/>
                <w:kern w:val="0"/>
                <w:sz w:val="24"/>
              </w:rPr>
            </m:ctrlPr>
          </m:sSubPr>
          <m:e>
            <m:r>
              <m:rPr/>
              <w:rPr>
                <w:rFonts w:ascii="Cambria Math" w:hAnsi="Cambria Math"/>
                <w:color w:val="000000"/>
                <w:kern w:val="0"/>
                <w:sz w:val="24"/>
              </w:rPr>
              <m:t>CI</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r>
          <m:rPr/>
          <w:rPr>
            <w:rFonts w:ascii="Cambria Math" w:hAnsi="Cambria Math"/>
            <w:color w:val="000000"/>
            <w:kern w:val="0"/>
            <w:sz w:val="24"/>
          </w:rPr>
          <m:t>t</m:t>
        </m:r>
        <m:d>
          <m:dPr>
            <m:ctrlPr>
              <w:rPr>
                <w:rFonts w:ascii="Cambria Math" w:hAnsi="Cambria Math"/>
                <w:color w:val="000000"/>
                <w:kern w:val="0"/>
                <w:sz w:val="24"/>
              </w:rPr>
            </m:ctrlPr>
          </m:dPr>
          <m:e>
            <m:r>
              <m:rPr/>
              <w:rPr>
                <w:rFonts w:ascii="Cambria Math" w:hAnsi="Cambria Math"/>
                <w:color w:val="000000"/>
                <w:kern w:val="0"/>
                <w:sz w:val="24"/>
              </w:rPr>
              <m:t>N</m:t>
            </m:r>
            <m:r>
              <m:rPr>
                <m:sty m:val="p"/>
              </m:rPr>
              <w:rPr>
                <w:rFonts w:ascii="Cambria Math" w:hAnsi="Cambria Math"/>
                <w:color w:val="000000"/>
                <w:kern w:val="0"/>
                <w:sz w:val="24"/>
              </w:rPr>
              <m:t>−1</m:t>
            </m:r>
            <m:ctrlPr>
              <w:rPr>
                <w:rFonts w:ascii="Cambria Math" w:hAnsi="Cambria Math"/>
                <w:color w:val="000000"/>
                <w:kern w:val="0"/>
                <w:sz w:val="24"/>
              </w:rPr>
            </m:ctrlPr>
          </m:e>
        </m:d>
        <m:f>
          <m:fPr>
            <m:ctrlPr>
              <w:rPr>
                <w:rFonts w:ascii="Cambria Math" w:hAnsi="Cambria Math"/>
                <w:color w:val="000000"/>
                <w:kern w:val="0"/>
                <w:sz w:val="24"/>
              </w:rPr>
            </m:ctrlPr>
          </m:fPr>
          <m:num>
            <m:rad>
              <m:radPr>
                <m:degHide m:val="1"/>
                <m:ctrlPr>
                  <w:rPr>
                    <w:rFonts w:ascii="Cambria Math" w:hAnsi="Cambria Math"/>
                    <w:color w:val="000000"/>
                    <w:kern w:val="0"/>
                    <w:sz w:val="24"/>
                  </w:rPr>
                </m:ctrlPr>
              </m:radPr>
              <m:deg>
                <m:ctrlPr>
                  <w:rPr>
                    <w:rFonts w:ascii="Cambria Math" w:hAnsi="Cambria Math"/>
                    <w:color w:val="000000"/>
                    <w:kern w:val="0"/>
                    <w:sz w:val="24"/>
                  </w:rPr>
                </m:ctrlPr>
              </m:deg>
              <m:e>
                <m:r>
                  <m:rPr>
                    <m:sty m:val="p"/>
                  </m:rPr>
                  <w:rPr>
                    <w:rFonts w:ascii="Cambria Math" w:hAnsi="Cambria Math"/>
                    <w:color w:val="000000"/>
                    <w:kern w:val="0"/>
                    <w:sz w:val="24"/>
                  </w:rPr>
                  <m:t>1/(</m:t>
                </m:r>
                <m:r>
                  <m:rPr/>
                  <w:rPr>
                    <w:rFonts w:ascii="Cambria Math" w:hAnsi="Cambria Math"/>
                    <w:color w:val="000000"/>
                    <w:kern w:val="0"/>
                    <w:sz w:val="24"/>
                  </w:rPr>
                  <m:t>N</m:t>
                </m:r>
                <m:r>
                  <m:rPr>
                    <m:sty m:val="p"/>
                  </m:rPr>
                  <w:rPr>
                    <w:rFonts w:ascii="Cambria Math" w:hAnsi="Cambria Math"/>
                    <w:color w:val="000000"/>
                    <w:kern w:val="0"/>
                    <w:sz w:val="24"/>
                  </w:rPr>
                  <m:t>−1)∗</m:t>
                </m:r>
                <m:nary>
                  <m:naryPr>
                    <m:chr m:val="∑"/>
                    <m:limLoc m:val="undOvr"/>
                    <m:ctrlPr>
                      <w:rPr>
                        <w:rFonts w:ascii="Cambria Math" w:hAnsi="Cambria Math"/>
                        <w:color w:val="000000"/>
                        <w:kern w:val="0"/>
                        <w:sz w:val="24"/>
                      </w:rPr>
                    </m:ctrlPr>
                  </m:naryPr>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e>
                    <m:sSup>
                      <m:sSupPr>
                        <m:ctrlPr>
                          <w:rPr>
                            <w:rFonts w:ascii="Cambria Math" w:hAnsi="Cambria Math"/>
                            <w:color w:val="000000"/>
                            <w:kern w:val="0"/>
                            <w:sz w:val="24"/>
                          </w:rPr>
                        </m:ctrlPr>
                      </m:sSupPr>
                      <m:e>
                        <m:d>
                          <m:dPr>
                            <m:ctrlPr>
                              <w:rPr>
                                <w:rFonts w:ascii="Cambria Math" w:hAnsi="Cambria Math"/>
                                <w:color w:val="000000"/>
                                <w:kern w:val="0"/>
                                <w:sz w:val="24"/>
                              </w:rPr>
                            </m:ctrlPr>
                          </m:dPr>
                          <m:e>
                            <m:sSub>
                              <m:sSubPr>
                                <m:ctrlPr>
                                  <w:rPr>
                                    <w:rFonts w:ascii="Cambria Math" w:hAnsi="Cambria Math"/>
                                    <w:color w:val="000000"/>
                                    <w:kern w:val="0"/>
                                    <w:sz w:val="24"/>
                                  </w:rPr>
                                </m:ctrlPr>
                              </m:sSubPr>
                              <m:e>
                                <m:r>
                                  <m:rPr/>
                                  <w:rPr>
                                    <w:rFonts w:ascii="Cambria Math" w:hAnsi="Cambria Math"/>
                                    <w:color w:val="000000"/>
                                    <w:kern w:val="0"/>
                                    <w:sz w:val="24"/>
                                  </w:rPr>
                                  <m:t>μ</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sSub>
                              <m:sSubPr>
                                <m:ctrlPr>
                                  <w:rPr>
                                    <w:rFonts w:ascii="Cambria Math" w:hAnsi="Cambria Math"/>
                                    <w:color w:val="000000"/>
                                    <w:kern w:val="0"/>
                                    <w:sz w:val="24"/>
                                  </w:rPr>
                                </m:ctrlPr>
                              </m:sSubPr>
                              <m:e>
                                <m:r>
                                  <m:rPr/>
                                  <w:rPr>
                                    <w:rFonts w:ascii="Cambria Math" w:hAnsi="Cambria Math"/>
                                    <w:color w:val="000000"/>
                                    <w:kern w:val="0"/>
                                    <w:sz w:val="24"/>
                                  </w:rPr>
                                  <m:t>MOS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ctrlPr>
                              <w:rPr>
                                <w:rFonts w:ascii="Cambria Math" w:hAnsi="Cambria Math"/>
                                <w:color w:val="000000"/>
                                <w:kern w:val="0"/>
                                <w:sz w:val="24"/>
                              </w:rPr>
                            </m:ctrlPr>
                          </m:e>
                        </m:d>
                        <m:ctrlPr>
                          <w:rPr>
                            <w:rFonts w:ascii="Cambria Math" w:hAnsi="Cambria Math"/>
                            <w:color w:val="000000"/>
                            <w:kern w:val="0"/>
                            <w:sz w:val="24"/>
                          </w:rPr>
                        </m:ctrlPr>
                      </m:e>
                      <m:sup>
                        <m:r>
                          <m:rPr>
                            <m:sty m:val="p"/>
                          </m:rPr>
                          <w:rPr>
                            <w:rFonts w:ascii="Cambria Math" w:hAnsi="Cambria Math"/>
                            <w:color w:val="000000"/>
                            <w:kern w:val="0"/>
                            <w:sz w:val="24"/>
                          </w:rPr>
                          <m:t>2</m:t>
                        </m:r>
                        <m:ctrlPr>
                          <w:rPr>
                            <w:rFonts w:ascii="Cambria Math" w:hAnsi="Cambria Math"/>
                            <w:color w:val="000000"/>
                            <w:kern w:val="0"/>
                            <w:sz w:val="24"/>
                          </w:rPr>
                        </m:ctrlPr>
                      </m:sup>
                    </m:sSup>
                    <m:ctrlPr>
                      <w:rPr>
                        <w:rFonts w:ascii="Cambria Math" w:hAnsi="Cambria Math"/>
                        <w:color w:val="000000"/>
                        <w:kern w:val="0"/>
                        <w:sz w:val="24"/>
                      </w:rPr>
                    </m:ctrlPr>
                  </m:e>
                </m:nary>
                <m:ctrlPr>
                  <w:rPr>
                    <w:rFonts w:ascii="Cambria Math" w:hAnsi="Cambria Math"/>
                    <w:color w:val="000000"/>
                    <w:kern w:val="0"/>
                    <w:sz w:val="24"/>
                  </w:rPr>
                </m:ctrlPr>
              </m:e>
            </m:rad>
            <m:ctrlPr>
              <w:rPr>
                <w:rFonts w:ascii="Cambria Math" w:hAnsi="Cambria Math"/>
                <w:color w:val="000000"/>
                <w:kern w:val="0"/>
                <w:sz w:val="24"/>
              </w:rPr>
            </m:ctrlPr>
          </m:num>
          <m:den>
            <m:rad>
              <m:radPr>
                <m:degHide m:val="1"/>
                <m:ctrlPr>
                  <w:rPr>
                    <w:rFonts w:ascii="Cambria Math" w:hAnsi="Cambria Math"/>
                    <w:color w:val="000000"/>
                    <w:kern w:val="0"/>
                    <w:sz w:val="24"/>
                  </w:rPr>
                </m:ctrlPr>
              </m:radPr>
              <m:deg>
                <m:ctrlPr>
                  <w:rPr>
                    <w:rFonts w:ascii="Cambria Math" w:hAnsi="Cambria Math"/>
                    <w:color w:val="000000"/>
                    <w:kern w:val="0"/>
                    <w:sz w:val="24"/>
                  </w:rPr>
                </m:ctrlPr>
              </m:deg>
              <m:e>
                <m:r>
                  <m:rPr/>
                  <w:rPr>
                    <w:rFonts w:ascii="Cambria Math" w:hAnsi="Cambria Math"/>
                    <w:color w:val="000000"/>
                    <w:kern w:val="0"/>
                    <w:sz w:val="24"/>
                  </w:rPr>
                  <m:t>N</m:t>
                </m:r>
                <m:ctrlPr>
                  <w:rPr>
                    <w:rFonts w:ascii="Cambria Math" w:hAnsi="Cambria Math"/>
                    <w:color w:val="000000"/>
                    <w:kern w:val="0"/>
                    <w:sz w:val="24"/>
                  </w:rPr>
                </m:ctrlPr>
              </m:e>
            </m:rad>
            <m:ctrlPr>
              <w:rPr>
                <w:rFonts w:ascii="Cambria Math" w:hAnsi="Cambria Math"/>
                <w:color w:val="000000"/>
                <w:kern w:val="0"/>
                <w:sz w:val="24"/>
              </w:rPr>
            </m:ctrlPr>
          </m:den>
        </m:f>
        <m:r>
          <m:rPr>
            <m:sty m:val="p"/>
          </m:rPr>
          <w:rPr>
            <w:rFonts w:ascii="Cambria Math" w:hAnsi="Cambria Math"/>
            <w:color w:val="000000"/>
            <w:kern w:val="0"/>
            <w:sz w:val="24"/>
          </w:rPr>
          <m:t>,</m:t>
        </m:r>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r>
          <m:rPr>
            <m:sty m:val="p"/>
          </m:rPr>
          <w:rPr>
            <w:rFonts w:ascii="Cambria Math" w:hAnsi="Cambria Math"/>
            <w:color w:val="000000"/>
            <w:kern w:val="0"/>
            <w:sz w:val="24"/>
          </w:rPr>
          <m:t>=1,1,1</m:t>
        </m:r>
      </m:oMath>
      <w:r>
        <w:rPr>
          <w:color w:val="000000"/>
          <w:kern w:val="0"/>
          <w:sz w:val="24"/>
        </w:rPr>
        <w:t>至</w:t>
      </w:r>
      <m:oMath>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r>
          <m:rPr>
            <m:sty m:val="p"/>
          </m:rPr>
          <w:rPr>
            <w:rFonts w:ascii="Cambria Math" w:hAnsi="Cambria Math"/>
            <w:color w:val="000000"/>
            <w:kern w:val="0"/>
            <w:sz w:val="24"/>
          </w:rPr>
          <m:t>，</m:t>
        </m:r>
      </m:oMath>
    </w:p>
    <w:p w14:paraId="212AADFB">
      <w:pPr>
        <w:spacing w:line="360" w:lineRule="auto"/>
        <w:rPr>
          <w:color w:val="000000"/>
          <w:kern w:val="0"/>
          <w:sz w:val="24"/>
        </w:rPr>
      </w:pPr>
      <w:r>
        <w:rPr>
          <w:color w:val="000000"/>
          <w:kern w:val="0"/>
          <w:sz w:val="24"/>
        </w:rPr>
        <w:t>若得到的是DMOS分数，置信区间CI为：</w:t>
      </w:r>
    </w:p>
    <w:p w14:paraId="7D612A2E">
      <w:pPr>
        <w:spacing w:line="360" w:lineRule="auto"/>
        <w:rPr>
          <w:color w:val="000000"/>
          <w:kern w:val="0"/>
          <w:sz w:val="24"/>
        </w:rPr>
      </w:pPr>
      <m:oMathPara>
        <m:oMath>
          <m:r>
            <m:rPr/>
            <w:rPr>
              <w:rFonts w:ascii="Cambria Math" w:hAnsi="Cambria Math"/>
              <w:color w:val="000000"/>
              <w:kern w:val="0"/>
              <w:sz w:val="24"/>
            </w:rPr>
            <m:t>C</m:t>
          </m:r>
          <m:sSub>
            <m:sSubPr>
              <m:ctrlPr>
                <w:rPr>
                  <w:rFonts w:ascii="Cambria Math" w:hAnsi="Cambria Math"/>
                  <w:color w:val="000000"/>
                  <w:kern w:val="0"/>
                  <w:sz w:val="24"/>
                </w:rPr>
              </m:ctrlPr>
            </m:sSubPr>
            <m:e>
              <m:r>
                <m:rPr/>
                <w:rPr>
                  <w:rFonts w:ascii="Cambria Math" w:hAnsi="Cambria Math"/>
                  <w:color w:val="000000"/>
                  <w:kern w:val="0"/>
                  <w:sz w:val="24"/>
                </w:rPr>
                <m:t>I</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r>
            <m:rPr>
              <m:sty m:val="p"/>
            </m:rPr>
            <w:rPr>
              <w:rFonts w:ascii="Cambria Math" w:hAnsi="Cambria Math"/>
              <w:color w:val="000000"/>
              <w:kern w:val="0"/>
              <w:sz w:val="24"/>
            </w:rPr>
            <m:t>=</m:t>
          </m:r>
          <m:r>
            <m:rPr/>
            <w:rPr>
              <w:rFonts w:ascii="Cambria Math" w:hAnsi="Cambria Math"/>
              <w:color w:val="000000"/>
              <w:kern w:val="0"/>
              <w:sz w:val="24"/>
            </w:rPr>
            <m:t>t</m:t>
          </m:r>
          <m:d>
            <m:dPr>
              <m:ctrlPr>
                <w:rPr>
                  <w:rFonts w:ascii="Cambria Math" w:hAnsi="Cambria Math"/>
                  <w:color w:val="000000"/>
                  <w:kern w:val="0"/>
                  <w:sz w:val="24"/>
                </w:rPr>
              </m:ctrlPr>
            </m:dPr>
            <m:e>
              <m:r>
                <m:rPr/>
                <w:rPr>
                  <w:rFonts w:ascii="Cambria Math" w:hAnsi="Cambria Math"/>
                  <w:color w:val="000000"/>
                  <w:kern w:val="0"/>
                  <w:sz w:val="24"/>
                </w:rPr>
                <m:t>N</m:t>
              </m:r>
              <m:r>
                <m:rPr>
                  <m:sty m:val="p"/>
                </m:rPr>
                <w:rPr>
                  <w:rFonts w:ascii="Cambria Math" w:hAnsi="Cambria Math"/>
                  <w:color w:val="000000"/>
                  <w:kern w:val="0"/>
                  <w:sz w:val="24"/>
                </w:rPr>
                <m:t>−1</m:t>
              </m:r>
              <m:ctrlPr>
                <w:rPr>
                  <w:rFonts w:ascii="Cambria Math" w:hAnsi="Cambria Math"/>
                  <w:color w:val="000000"/>
                  <w:kern w:val="0"/>
                  <w:sz w:val="24"/>
                </w:rPr>
              </m:ctrlPr>
            </m:e>
          </m:d>
          <m:rad>
            <m:radPr>
              <m:degHide m:val="1"/>
              <m:ctrlPr>
                <w:rPr>
                  <w:rFonts w:ascii="Cambria Math" w:hAnsi="Cambria Math"/>
                  <w:color w:val="000000"/>
                  <w:kern w:val="0"/>
                  <w:sz w:val="24"/>
                </w:rPr>
              </m:ctrlPr>
            </m:radPr>
            <m:deg>
              <m:ctrlPr>
                <w:rPr>
                  <w:rFonts w:ascii="Cambria Math" w:hAnsi="Cambria Math"/>
                  <w:color w:val="000000"/>
                  <w:kern w:val="0"/>
                  <w:sz w:val="24"/>
                </w:rPr>
              </m:ctrlPr>
            </m:deg>
            <m:e>
              <m:f>
                <m:fPr>
                  <m:ctrlPr>
                    <w:rPr>
                      <w:rFonts w:ascii="Cambria Math" w:hAnsi="Cambria Math"/>
                      <w:color w:val="000000"/>
                      <w:kern w:val="0"/>
                      <w:sz w:val="24"/>
                    </w:rPr>
                  </m:ctrlPr>
                </m:fPr>
                <m:num>
                  <m:r>
                    <m:rPr>
                      <m:sty m:val="p"/>
                    </m:rPr>
                    <w:rPr>
                      <w:rFonts w:ascii="Cambria Math" w:hAnsi="Cambria Math"/>
                      <w:color w:val="000000"/>
                      <w:kern w:val="0"/>
                      <w:sz w:val="24"/>
                    </w:rPr>
                    <m:t>1/(</m:t>
                  </m:r>
                  <m:r>
                    <m:rPr/>
                    <w:rPr>
                      <w:rFonts w:ascii="Cambria Math" w:hAnsi="Cambria Math"/>
                      <w:color w:val="000000"/>
                      <w:kern w:val="0"/>
                      <w:sz w:val="24"/>
                    </w:rPr>
                    <m:t>N</m:t>
                  </m:r>
                  <m:r>
                    <m:rPr>
                      <m:sty m:val="p"/>
                    </m:rPr>
                    <w:rPr>
                      <w:rFonts w:ascii="Cambria Math" w:hAnsi="Cambria Math"/>
                      <w:color w:val="000000"/>
                      <w:kern w:val="0"/>
                      <w:sz w:val="24"/>
                    </w:rPr>
                    <m:t>−1)∗</m:t>
                  </m:r>
                  <m:sSubSup>
                    <m:sSubSupPr>
                      <m:ctrlPr>
                        <w:rPr>
                          <w:rFonts w:ascii="Cambria Math" w:hAnsi="Cambria Math"/>
                          <w:color w:val="000000"/>
                          <w:kern w:val="0"/>
                          <w:sz w:val="24"/>
                        </w:rPr>
                      </m:ctrlPr>
                    </m:sSubSupPr>
                    <m:e>
                      <m:r>
                        <m:rPr>
                          <m:sty m:val="p"/>
                        </m:rPr>
                        <w:rPr>
                          <w:rFonts w:ascii="Cambria Math" w:hAnsi="Cambria Math"/>
                          <w:color w:val="000000"/>
                          <w:kern w:val="0"/>
                          <w:sz w:val="24"/>
                        </w:rPr>
                        <m:t>Σ</m:t>
                      </m:r>
                      <m:ctrlPr>
                        <w:rPr>
                          <w:rFonts w:ascii="Cambria Math" w:hAnsi="Cambria Math"/>
                          <w:color w:val="000000"/>
                          <w:kern w:val="0"/>
                          <w:sz w:val="24"/>
                        </w:rPr>
                      </m:ctrlPr>
                    </m:e>
                    <m:sub>
                      <m:r>
                        <m:rPr/>
                        <w:rPr>
                          <w:rFonts w:ascii="Cambria Math" w:hAnsi="Cambria Math"/>
                          <w:color w:val="000000"/>
                          <w:kern w:val="0"/>
                          <w:sz w:val="24"/>
                        </w:rPr>
                        <m:t>i</m:t>
                      </m:r>
                      <m:r>
                        <m:rPr>
                          <m:sty m:val="p"/>
                        </m:rPr>
                        <w:rPr>
                          <w:rFonts w:ascii="Cambria Math" w:hAnsi="Cambria Math"/>
                          <w:color w:val="000000"/>
                          <w:kern w:val="0"/>
                          <w:sz w:val="24"/>
                        </w:rPr>
                        <m:t>=1</m:t>
                      </m:r>
                      <m:ctrlPr>
                        <w:rPr>
                          <w:rFonts w:ascii="Cambria Math" w:hAnsi="Cambria Math"/>
                          <w:color w:val="000000"/>
                          <w:kern w:val="0"/>
                          <w:sz w:val="24"/>
                        </w:rPr>
                      </m:ctrlPr>
                    </m:sub>
                    <m:sup>
                      <m:r>
                        <m:rPr/>
                        <w:rPr>
                          <w:rFonts w:ascii="Cambria Math" w:hAnsi="Cambria Math"/>
                          <w:color w:val="000000"/>
                          <w:kern w:val="0"/>
                          <w:sz w:val="24"/>
                        </w:rPr>
                        <m:t>N</m:t>
                      </m:r>
                      <m:ctrlPr>
                        <w:rPr>
                          <w:rFonts w:ascii="Cambria Math" w:hAnsi="Cambria Math"/>
                          <w:color w:val="000000"/>
                          <w:kern w:val="0"/>
                          <w:sz w:val="24"/>
                        </w:rPr>
                      </m:ctrlPr>
                    </m:sup>
                  </m:sSubSup>
                  <m:sSup>
                    <m:sSupPr>
                      <m:ctrlPr>
                        <w:rPr>
                          <w:rFonts w:ascii="Cambria Math" w:hAnsi="Cambria Math"/>
                          <w:color w:val="000000"/>
                          <w:kern w:val="0"/>
                          <w:sz w:val="24"/>
                        </w:rPr>
                      </m:ctrlPr>
                    </m:sSupPr>
                    <m:e>
                      <m:d>
                        <m:dPr>
                          <m:ctrlPr>
                            <w:rPr>
                              <w:rFonts w:ascii="Cambria Math" w:hAnsi="Cambria Math"/>
                              <w:color w:val="000000"/>
                              <w:kern w:val="0"/>
                              <w:sz w:val="24"/>
                            </w:rPr>
                          </m:ctrlPr>
                        </m:dPr>
                        <m:e>
                          <m:sSub>
                            <m:sSubPr>
                              <m:ctrlPr>
                                <w:rPr>
                                  <w:rFonts w:ascii="Cambria Math" w:hAnsi="Cambria Math"/>
                                  <w:color w:val="000000"/>
                                  <w:kern w:val="0"/>
                                  <w:sz w:val="24"/>
                                </w:rPr>
                              </m:ctrlPr>
                            </m:sSubPr>
                            <m:e>
                              <m:r>
                                <m:rPr/>
                                <w:rPr>
                                  <w:rFonts w:ascii="Cambria Math" w:hAnsi="Cambria Math"/>
                                  <w:color w:val="000000"/>
                                  <w:kern w:val="0"/>
                                  <w:sz w:val="24"/>
                                </w:rPr>
                                <m:t>d</m:t>
                              </m:r>
                              <m:ctrlPr>
                                <w:rPr>
                                  <w:rFonts w:ascii="Cambria Math" w:hAnsi="Cambria Math"/>
                                  <w:color w:val="000000"/>
                                  <w:kern w:val="0"/>
                                  <w:sz w:val="24"/>
                                </w:rPr>
                              </m:ctrlPr>
                            </m:e>
                            <m:sub>
                              <m:r>
                                <m:rPr/>
                                <w:rPr>
                                  <w:rFonts w:ascii="Cambria Math" w:hAnsi="Cambria Math"/>
                                  <w:color w:val="000000"/>
                                  <w:kern w:val="0"/>
                                  <w:sz w:val="24"/>
                                </w:rPr>
                                <m:t>ijkr</m:t>
                              </m:r>
                              <m:ctrlPr>
                                <w:rPr>
                                  <w:rFonts w:ascii="Cambria Math" w:hAnsi="Cambria Math"/>
                                  <w:color w:val="000000"/>
                                  <w:kern w:val="0"/>
                                  <w:sz w:val="24"/>
                                </w:rPr>
                              </m:ctrlPr>
                            </m:sub>
                          </m:sSub>
                          <m:r>
                            <m:rPr>
                              <m:sty m:val="p"/>
                            </m:rPr>
                            <w:rPr>
                              <w:rFonts w:ascii="Cambria Math" w:hAnsi="Cambria Math"/>
                              <w:color w:val="000000"/>
                              <w:kern w:val="0"/>
                              <w:sz w:val="24"/>
                            </w:rPr>
                            <m:t>−</m:t>
                          </m:r>
                          <m:r>
                            <m:rPr/>
                            <w:rPr>
                              <w:rFonts w:ascii="Cambria Math" w:hAnsi="Cambria Math"/>
                              <w:color w:val="000000"/>
                              <w:kern w:val="0"/>
                              <w:sz w:val="24"/>
                            </w:rPr>
                            <m:t>DMO</m:t>
                          </m:r>
                          <m:sSub>
                            <m:sSubPr>
                              <m:ctrlPr>
                                <w:rPr>
                                  <w:rFonts w:ascii="Cambria Math" w:hAnsi="Cambria Math"/>
                                  <w:color w:val="000000"/>
                                  <w:kern w:val="0"/>
                                  <w:sz w:val="24"/>
                                </w:rPr>
                              </m:ctrlPr>
                            </m:sSubPr>
                            <m:e>
                              <m:r>
                                <m:rPr/>
                                <w:rPr>
                                  <w:rFonts w:ascii="Cambria Math" w:hAnsi="Cambria Math"/>
                                  <w:color w:val="000000"/>
                                  <w:kern w:val="0"/>
                                  <w:sz w:val="24"/>
                                </w:rPr>
                                <m:t>S</m:t>
                              </m:r>
                              <m:ctrlPr>
                                <w:rPr>
                                  <w:rFonts w:ascii="Cambria Math" w:hAnsi="Cambria Math"/>
                                  <w:color w:val="000000"/>
                                  <w:kern w:val="0"/>
                                  <w:sz w:val="24"/>
                                </w:rPr>
                              </m:ctrlPr>
                            </m:e>
                            <m:sub>
                              <m:r>
                                <m:rPr/>
                                <w:rPr>
                                  <w:rFonts w:ascii="Cambria Math" w:hAnsi="Cambria Math"/>
                                  <w:color w:val="000000"/>
                                  <w:kern w:val="0"/>
                                  <w:sz w:val="24"/>
                                </w:rPr>
                                <m:t>jkr</m:t>
                              </m:r>
                              <m:ctrlPr>
                                <w:rPr>
                                  <w:rFonts w:ascii="Cambria Math" w:hAnsi="Cambria Math"/>
                                  <w:color w:val="000000"/>
                                  <w:kern w:val="0"/>
                                  <w:sz w:val="24"/>
                                </w:rPr>
                              </m:ctrlPr>
                            </m:sub>
                          </m:sSub>
                          <m:ctrlPr>
                            <w:rPr>
                              <w:rFonts w:ascii="Cambria Math" w:hAnsi="Cambria Math"/>
                              <w:color w:val="000000"/>
                              <w:kern w:val="0"/>
                              <w:sz w:val="24"/>
                            </w:rPr>
                          </m:ctrlPr>
                        </m:e>
                      </m:d>
                      <m:ctrlPr>
                        <w:rPr>
                          <w:rFonts w:ascii="Cambria Math" w:hAnsi="Cambria Math"/>
                          <w:color w:val="000000"/>
                          <w:kern w:val="0"/>
                          <w:sz w:val="24"/>
                        </w:rPr>
                      </m:ctrlPr>
                    </m:e>
                    <m:sup>
                      <m:r>
                        <m:rPr>
                          <m:sty m:val="p"/>
                        </m:rPr>
                        <w:rPr>
                          <w:rFonts w:ascii="Cambria Math" w:hAnsi="Cambria Math"/>
                          <w:color w:val="000000"/>
                          <w:kern w:val="0"/>
                          <w:sz w:val="24"/>
                        </w:rPr>
                        <m:t>2</m:t>
                      </m:r>
                      <m:ctrlPr>
                        <w:rPr>
                          <w:rFonts w:ascii="Cambria Math" w:hAnsi="Cambria Math"/>
                          <w:color w:val="000000"/>
                          <w:kern w:val="0"/>
                          <w:sz w:val="24"/>
                        </w:rPr>
                      </m:ctrlPr>
                    </m:sup>
                  </m:sSup>
                  <m:ctrlPr>
                    <w:rPr>
                      <w:rFonts w:ascii="Cambria Math" w:hAnsi="Cambria Math"/>
                      <w:color w:val="000000"/>
                      <w:kern w:val="0"/>
                      <w:sz w:val="24"/>
                    </w:rPr>
                  </m:ctrlPr>
                </m:num>
                <m:den>
                  <m:r>
                    <m:rPr/>
                    <w:rPr>
                      <w:rFonts w:ascii="Cambria Math" w:hAnsi="Cambria Math"/>
                      <w:color w:val="000000"/>
                      <w:kern w:val="0"/>
                      <w:sz w:val="24"/>
                    </w:rPr>
                    <m:t>N</m:t>
                  </m:r>
                  <m:ctrlPr>
                    <w:rPr>
                      <w:rFonts w:ascii="Cambria Math" w:hAnsi="Cambria Math"/>
                      <w:color w:val="000000"/>
                      <w:kern w:val="0"/>
                      <w:sz w:val="24"/>
                    </w:rPr>
                  </m:ctrlPr>
                </m:den>
              </m:f>
              <m:ctrlPr>
                <w:rPr>
                  <w:rFonts w:ascii="Cambria Math" w:hAnsi="Cambria Math"/>
                  <w:color w:val="000000"/>
                  <w:kern w:val="0"/>
                  <w:sz w:val="24"/>
                </w:rPr>
              </m:ctrlPr>
            </m:e>
          </m:rad>
          <m:r>
            <m:rPr>
              <m:sty m:val="p"/>
            </m:rPr>
            <w:rPr>
              <w:rFonts w:ascii="Cambria Math" w:hAnsi="Cambria Math"/>
              <w:color w:val="000000"/>
              <w:kern w:val="0"/>
              <w:sz w:val="24"/>
            </w:rPr>
            <m:t>,</m:t>
          </m:r>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r>
            <m:rPr>
              <m:sty m:val="p"/>
            </m:rPr>
            <w:rPr>
              <w:rFonts w:ascii="Cambria Math" w:hAnsi="Cambria Math"/>
              <w:color w:val="000000"/>
              <w:kern w:val="0"/>
              <w:sz w:val="24"/>
            </w:rPr>
            <m:t>=1,1,1</m:t>
          </m:r>
          <m:r>
            <m:rPr>
              <m:nor/>
              <m:sty m:val="p"/>
            </m:rPr>
            <w:rPr>
              <w:color w:val="000000"/>
              <w:kern w:val="0"/>
              <w:sz w:val="24"/>
            </w:rPr>
            <m:t>至</m:t>
          </m:r>
          <m:r>
            <m:rPr/>
            <w:rPr>
              <w:rFonts w:ascii="Cambria Math" w:hAnsi="Cambria Math"/>
              <w:color w:val="000000"/>
              <w:kern w:val="0"/>
              <w:sz w:val="24"/>
            </w:rPr>
            <m:t>J</m:t>
          </m:r>
          <m:r>
            <m:rPr>
              <m:sty m:val="p"/>
            </m:rPr>
            <w:rPr>
              <w:rFonts w:ascii="Cambria Math" w:hAnsi="Cambria Math"/>
              <w:color w:val="000000"/>
              <w:kern w:val="0"/>
              <w:sz w:val="24"/>
            </w:rPr>
            <m:t>,</m:t>
          </m:r>
          <m:r>
            <m:rPr/>
            <w:rPr>
              <w:rFonts w:ascii="Cambria Math" w:hAnsi="Cambria Math"/>
              <w:color w:val="000000"/>
              <w:kern w:val="0"/>
              <w:sz w:val="24"/>
            </w:rPr>
            <m:t>K</m:t>
          </m:r>
          <m:r>
            <m:rPr>
              <m:sty m:val="p"/>
            </m:rPr>
            <w:rPr>
              <w:rFonts w:ascii="Cambria Math" w:hAnsi="Cambria Math"/>
              <w:color w:val="000000"/>
              <w:kern w:val="0"/>
              <w:sz w:val="24"/>
            </w:rPr>
            <m:t>,</m:t>
          </m:r>
          <m:r>
            <m:rPr/>
            <w:rPr>
              <w:rFonts w:ascii="Cambria Math" w:hAnsi="Cambria Math"/>
              <w:color w:val="000000"/>
              <w:kern w:val="0"/>
              <w:sz w:val="24"/>
            </w:rPr>
            <m:t>R</m:t>
          </m:r>
          <m:r>
            <m:rPr>
              <m:sty m:val="p"/>
            </m:rPr>
            <w:rPr>
              <w:rFonts w:ascii="Cambria Math" w:hAnsi="Cambria Math"/>
              <w:color w:val="000000"/>
              <w:kern w:val="0"/>
              <w:sz w:val="24"/>
            </w:rPr>
            <m:t>。</m:t>
          </m:r>
        </m:oMath>
      </m:oMathPara>
    </w:p>
    <w:p w14:paraId="139C292A">
      <w:pPr>
        <w:spacing w:line="360" w:lineRule="auto"/>
        <w:rPr>
          <w:color w:val="000000"/>
          <w:kern w:val="0"/>
          <w:sz w:val="24"/>
        </w:rPr>
      </w:pPr>
      <w:r>
        <w:rPr>
          <w:color w:val="000000"/>
          <w:kern w:val="0"/>
          <w:sz w:val="24"/>
        </w:rPr>
        <w:t>其中:</w:t>
      </w:r>
    </w:p>
    <w:p w14:paraId="68E3ECDF">
      <w:pPr>
        <w:spacing w:line="360" w:lineRule="auto"/>
        <w:rPr>
          <w:color w:val="000000"/>
          <w:kern w:val="0"/>
          <w:sz w:val="24"/>
        </w:rPr>
      </w:pPr>
      <m:oMath>
        <m:r>
          <m:rPr/>
          <w:rPr>
            <w:rFonts w:ascii="Cambria Math" w:hAnsi="Cambria Math"/>
            <w:color w:val="000000"/>
            <w:kern w:val="0"/>
            <w:sz w:val="24"/>
          </w:rPr>
          <m:t>t</m:t>
        </m:r>
        <m:r>
          <m:rPr>
            <m:sty m:val="p"/>
          </m:rPr>
          <w:rPr>
            <w:rFonts w:ascii="Cambria Math" w:hAnsi="Cambria Math"/>
            <w:color w:val="000000"/>
            <w:kern w:val="0"/>
            <w:sz w:val="24"/>
          </w:rPr>
          <m:t>(</m:t>
        </m:r>
        <m:r>
          <m:rPr/>
          <w:rPr>
            <w:rFonts w:ascii="Cambria Math" w:hAnsi="Cambria Math"/>
            <w:color w:val="000000"/>
            <w:kern w:val="0"/>
            <w:sz w:val="24"/>
          </w:rPr>
          <m:t>N</m:t>
        </m:r>
        <m:r>
          <m:rPr>
            <m:sty m:val="p"/>
          </m:rPr>
          <w:rPr>
            <w:rFonts w:ascii="Cambria Math" w:hAnsi="Cambria Math"/>
            <w:color w:val="000000"/>
            <w:kern w:val="0"/>
            <w:sz w:val="24"/>
          </w:rPr>
          <m:t>−1)</m:t>
        </m:r>
      </m:oMath>
      <w:r>
        <w:rPr>
          <w:color w:val="000000"/>
          <w:kern w:val="0"/>
          <w:sz w:val="24"/>
        </w:rPr>
        <w:tab/>
      </w:r>
      <w:r>
        <w:rPr>
          <w:color w:val="000000"/>
          <w:kern w:val="0"/>
          <w:sz w:val="24"/>
        </w:rPr>
        <w:tab/>
      </w:r>
      <w:r>
        <w:rPr>
          <w:color w:val="000000"/>
          <w:kern w:val="0"/>
          <w:sz w:val="24"/>
        </w:rPr>
        <w:t>—— 为自由度为</w:t>
      </w:r>
      <m:oMath>
        <m:r>
          <m:rPr/>
          <w:rPr>
            <w:rFonts w:ascii="Cambria Math" w:hAnsi="Cambria Math"/>
            <w:color w:val="000000"/>
            <w:kern w:val="0"/>
            <w:sz w:val="24"/>
          </w:rPr>
          <m:t>N</m:t>
        </m:r>
        <m:r>
          <m:rPr>
            <m:sty m:val="p"/>
          </m:rPr>
          <w:rPr>
            <w:rFonts w:ascii="Cambria Math" w:hAnsi="Cambria Math"/>
            <w:color w:val="000000"/>
            <w:kern w:val="0"/>
            <w:sz w:val="24"/>
          </w:rPr>
          <m:t>−1</m:t>
        </m:r>
      </m:oMath>
      <w:r>
        <w:rPr>
          <w:color w:val="000000"/>
          <w:kern w:val="0"/>
          <w:sz w:val="24"/>
        </w:rPr>
        <w:t>的t分布的逆累积分布函数在95%处（双侧）的取值。</w:t>
      </w:r>
    </w:p>
    <w:p w14:paraId="11DB0952">
      <w:pPr>
        <w:spacing w:line="360" w:lineRule="auto"/>
        <w:rPr>
          <w:color w:val="000000"/>
          <w:kern w:val="0"/>
          <w:sz w:val="24"/>
        </w:rPr>
      </w:pPr>
      <w:r>
        <w:rPr>
          <w:color w:val="000000"/>
          <w:kern w:val="0"/>
          <w:sz w:val="24"/>
        </w:rPr>
        <w:t>当</w:t>
      </w:r>
      <m:oMath>
        <m:r>
          <m:rPr/>
          <w:rPr>
            <w:rFonts w:ascii="Cambria Math" w:hAnsi="Cambria Math"/>
            <w:color w:val="000000"/>
            <w:kern w:val="0"/>
            <w:sz w:val="24"/>
          </w:rPr>
          <m:t>N</m:t>
        </m:r>
        <m:r>
          <m:rPr>
            <m:sty m:val="p"/>
          </m:rPr>
          <w:rPr>
            <w:rFonts w:ascii="Cambria Math" w:hAnsi="Cambria Math"/>
            <w:color w:val="000000"/>
            <w:kern w:val="0"/>
            <w:sz w:val="24"/>
          </w:rPr>
          <m:t>−1</m:t>
        </m:r>
      </m:oMath>
      <w:r>
        <w:rPr>
          <w:color w:val="000000"/>
          <w:kern w:val="0"/>
          <w:sz w:val="24"/>
        </w:rPr>
        <w:t>趋近于无穷大时等价于正态分布，此时</w:t>
      </w:r>
      <m:oMath>
        <m:r>
          <m:rPr/>
          <w:rPr>
            <w:rFonts w:ascii="Cambria Math" w:hAnsi="Cambria Math"/>
            <w:color w:val="000000"/>
            <w:kern w:val="0"/>
            <w:sz w:val="24"/>
          </w:rPr>
          <m:t>t</m:t>
        </m:r>
        <m:r>
          <m:rPr>
            <m:sty m:val="p"/>
          </m:rPr>
          <w:rPr>
            <w:rFonts w:ascii="Cambria Math" w:hAnsi="Cambria Math"/>
            <w:color w:val="000000"/>
            <w:kern w:val="0"/>
            <w:sz w:val="24"/>
          </w:rPr>
          <m:t>(</m:t>
        </m:r>
        <m:r>
          <m:rPr/>
          <w:rPr>
            <w:rFonts w:ascii="Cambria Math" w:hAnsi="Cambria Math"/>
            <w:color w:val="000000"/>
            <w:kern w:val="0"/>
            <w:sz w:val="24"/>
          </w:rPr>
          <m:t>N</m:t>
        </m:r>
        <m:r>
          <m:rPr>
            <m:sty m:val="p"/>
          </m:rPr>
          <w:rPr>
            <w:rFonts w:ascii="Cambria Math" w:hAnsi="Cambria Math"/>
            <w:color w:val="000000"/>
            <w:kern w:val="0"/>
            <w:sz w:val="24"/>
          </w:rPr>
          <m:t>−1)=1.96</m:t>
        </m:r>
      </m:oMath>
      <w:r>
        <w:rPr>
          <w:color w:val="000000"/>
          <w:kern w:val="0"/>
          <w:sz w:val="24"/>
        </w:rPr>
        <w:t>，而</w:t>
      </w:r>
      <m:oMath>
        <m:r>
          <m:rPr/>
          <w:rPr>
            <w:rFonts w:ascii="Cambria Math" w:hAnsi="Cambria Math"/>
            <w:color w:val="000000"/>
            <w:kern w:val="0"/>
            <w:sz w:val="24"/>
          </w:rPr>
          <m:t>N</m:t>
        </m:r>
        <m:r>
          <m:rPr>
            <m:sty m:val="p"/>
          </m:rPr>
          <w:rPr>
            <w:rFonts w:ascii="Cambria Math" w:hAnsi="Cambria Math"/>
            <w:color w:val="000000"/>
            <w:kern w:val="0"/>
            <w:sz w:val="24"/>
          </w:rPr>
          <m:t>−1</m:t>
        </m:r>
      </m:oMath>
      <w:r>
        <w:rPr>
          <w:color w:val="000000"/>
          <w:kern w:val="0"/>
          <w:sz w:val="24"/>
        </w:rPr>
        <w:t>有限时，</w:t>
      </w:r>
      <m:oMath>
        <m:r>
          <m:rPr/>
          <w:rPr>
            <w:rFonts w:ascii="Cambria Math" w:hAnsi="Cambria Math"/>
            <w:color w:val="000000"/>
            <w:kern w:val="0"/>
            <w:sz w:val="24"/>
          </w:rPr>
          <m:t>t</m:t>
        </m:r>
        <m:r>
          <m:rPr>
            <m:sty m:val="p"/>
          </m:rPr>
          <w:rPr>
            <w:rFonts w:ascii="Cambria Math" w:hAnsi="Cambria Math"/>
            <w:color w:val="000000"/>
            <w:kern w:val="0"/>
            <w:sz w:val="24"/>
          </w:rPr>
          <m:t>(</m:t>
        </m:r>
        <m:r>
          <m:rPr/>
          <w:rPr>
            <w:rFonts w:ascii="Cambria Math" w:hAnsi="Cambria Math"/>
            <w:color w:val="000000"/>
            <w:kern w:val="0"/>
            <w:sz w:val="24"/>
          </w:rPr>
          <m:t>N</m:t>
        </m:r>
        <m:r>
          <m:rPr>
            <m:sty m:val="p"/>
          </m:rPr>
          <w:rPr>
            <w:rFonts w:ascii="Cambria Math" w:hAnsi="Cambria Math"/>
            <w:color w:val="000000"/>
            <w:kern w:val="0"/>
            <w:sz w:val="24"/>
          </w:rPr>
          <m:t>−1)&gt;1.96</m:t>
        </m:r>
      </m:oMath>
      <w:r>
        <w:rPr>
          <w:color w:val="000000"/>
          <w:kern w:val="0"/>
          <w:sz w:val="24"/>
        </w:rPr>
        <w:t>,如</w:t>
      </w:r>
      <m:oMath>
        <m:r>
          <m:rPr/>
          <w:rPr>
            <w:rFonts w:ascii="Cambria Math" w:hAnsi="Cambria Math"/>
            <w:color w:val="000000"/>
            <w:kern w:val="0"/>
            <w:sz w:val="24"/>
          </w:rPr>
          <m:t>t</m:t>
        </m:r>
        <m:r>
          <m:rPr>
            <m:sty m:val="p"/>
          </m:rPr>
          <w:rPr>
            <w:rFonts w:ascii="Cambria Math" w:hAnsi="Cambria Math"/>
            <w:color w:val="000000"/>
            <w:kern w:val="0"/>
            <w:sz w:val="24"/>
          </w:rPr>
          <m:t>(20−1)=2.093</m:t>
        </m:r>
      </m:oMath>
      <w:r>
        <w:rPr>
          <w:color w:val="000000"/>
          <w:kern w:val="0"/>
          <w:sz w:val="24"/>
        </w:rPr>
        <w:t>。</w:t>
      </w:r>
    </w:p>
    <w:p w14:paraId="1B013E12">
      <w:pPr>
        <w:pStyle w:val="24"/>
        <w:spacing w:line="360" w:lineRule="auto"/>
        <w:ind w:firstLine="0" w:firstLineChars="0"/>
        <w:jc w:val="left"/>
        <w:rPr>
          <w:rFonts w:ascii="Times New Roman"/>
          <w:color w:val="000000"/>
          <w:sz w:val="24"/>
          <w:szCs w:val="24"/>
        </w:rPr>
      </w:pPr>
    </w:p>
    <w:p w14:paraId="19B7039F">
      <w:pPr>
        <w:adjustRightInd w:val="0"/>
        <w:snapToGrid w:val="0"/>
        <w:spacing w:line="360" w:lineRule="auto"/>
        <w:ind w:firstLine="482" w:firstLineChars="200"/>
        <w:rPr>
          <w:b/>
          <w:color w:val="000000"/>
          <w:sz w:val="24"/>
        </w:rPr>
      </w:pPr>
      <w:r>
        <w:rPr>
          <w:b/>
          <w:sz w:val="24"/>
        </w:rPr>
        <w:t>三、</w:t>
      </w:r>
      <w:r>
        <w:rPr>
          <w:b/>
          <w:color w:val="000000"/>
          <w:sz w:val="24"/>
        </w:rPr>
        <w:t>主要试验</w:t>
      </w:r>
      <w:r>
        <w:rPr>
          <w:rFonts w:eastAsia="楷体_GB2312"/>
          <w:b/>
          <w:color w:val="000000"/>
          <w:szCs w:val="21"/>
        </w:rPr>
        <w:t>[或验证]</w:t>
      </w:r>
      <w:r>
        <w:rPr>
          <w:b/>
          <w:color w:val="000000"/>
          <w:sz w:val="24"/>
        </w:rPr>
        <w:t>情况分析</w:t>
      </w:r>
    </w:p>
    <w:p w14:paraId="1D129E64">
      <w:pPr>
        <w:snapToGrid w:val="0"/>
        <w:spacing w:line="520" w:lineRule="exact"/>
        <w:ind w:firstLine="560"/>
        <w:rPr>
          <w:color w:val="000000"/>
          <w:sz w:val="24"/>
        </w:rPr>
      </w:pPr>
      <w:r>
        <w:rPr>
          <w:color w:val="000000"/>
          <w:sz w:val="24"/>
        </w:rPr>
        <w:t>本试验对点云6DoF VR环境下主观实验稳定性进行试验分析，包括参考样本的选取，失真点云的生成，主观实验环境搭建，和主观分数分析。</w:t>
      </w:r>
    </w:p>
    <w:p w14:paraId="192CD88E">
      <w:pPr>
        <w:snapToGrid w:val="0"/>
        <w:spacing w:line="520" w:lineRule="exact"/>
        <w:ind w:firstLine="560"/>
        <w:rPr>
          <w:color w:val="000000"/>
          <w:sz w:val="24"/>
        </w:rPr>
      </w:pPr>
      <w:r>
        <w:rPr>
          <w:color w:val="000000"/>
          <w:sz w:val="24"/>
        </w:rPr>
        <w:t>本次实验从N2952-点云主观实验数据集选取Leap_vox12原始点云用于预训练主观实验参与者，选取censer_vox12、jaguar_vox10和model_vox11三个原始点云作为正式主观实验的测试对象。</w:t>
      </w:r>
    </w:p>
    <w:p w14:paraId="67654767">
      <w:pPr>
        <w:snapToGrid w:val="0"/>
        <w:spacing w:line="520" w:lineRule="exact"/>
        <w:ind w:firstLine="560"/>
        <w:rPr>
          <w:color w:val="000000"/>
          <w:sz w:val="24"/>
        </w:rPr>
      </w:pPr>
      <w:r>
        <w:rPr>
          <w:color w:val="000000"/>
          <w:sz w:val="24"/>
        </w:rPr>
        <w:t>用作预训练的样本如下：</w:t>
      </w:r>
    </w:p>
    <w:tbl>
      <w:tblPr>
        <w:tblStyle w:val="12"/>
        <w:tblW w:w="7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5580"/>
      </w:tblGrid>
      <w:tr w14:paraId="1F57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795" w:type="dxa"/>
            <w:tcBorders>
              <w:top w:val="single" w:color="auto" w:sz="4" w:space="0"/>
              <w:left w:val="single" w:color="auto" w:sz="4" w:space="0"/>
              <w:bottom w:val="single" w:color="auto" w:sz="4" w:space="0"/>
              <w:right w:val="single" w:color="auto" w:sz="4" w:space="0"/>
            </w:tcBorders>
          </w:tcPr>
          <w:p w14:paraId="79C38989">
            <w:pPr>
              <w:jc w:val="center"/>
            </w:pPr>
            <w:bookmarkStart w:id="8" w:name="_Hlk121509540"/>
            <w:r>
              <w:t>Leap_vox12</w:t>
            </w:r>
            <w:bookmarkEnd w:id="8"/>
          </w:p>
        </w:tc>
        <w:tc>
          <w:tcPr>
            <w:tcW w:w="5580" w:type="dxa"/>
            <w:tcBorders>
              <w:top w:val="single" w:color="auto" w:sz="4" w:space="0"/>
              <w:left w:val="single" w:color="auto" w:sz="4" w:space="0"/>
              <w:bottom w:val="single" w:color="auto" w:sz="4" w:space="0"/>
              <w:right w:val="single" w:color="auto" w:sz="4" w:space="0"/>
            </w:tcBorders>
          </w:tcPr>
          <w:p w14:paraId="5D80555D">
            <w:pPr>
              <w:jc w:val="center"/>
            </w:pPr>
            <w:r>
              <w:rPr>
                <w:szCs w:val="21"/>
              </w:rPr>
              <w:drawing>
                <wp:inline distT="0" distB="0" distL="0" distR="0">
                  <wp:extent cx="2848610" cy="1762760"/>
                  <wp:effectExtent l="0" t="0" r="0" b="0"/>
                  <wp:docPr id="1599247117" name="图片 1599247117" descr="图片包含 游戏机, 电视, 飞行&#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47117" name="图片 1599247117" descr="图片包含 游戏机, 电视, 飞行&#10;&#10;AI 生成的内容可能不正确。"/>
                          <pic:cNvPicPr>
                            <a:picLocks noChangeAspect="1"/>
                          </pic:cNvPicPr>
                        </pic:nvPicPr>
                        <pic:blipFill>
                          <a:blip r:embed="rId12" cstate="print">
                            <a:extLst>
                              <a:ext uri="{28A0092B-C50C-407E-A947-70E740481C1C}">
                                <a14:useLocalDpi xmlns:a14="http://schemas.microsoft.com/office/drawing/2010/main" val="0"/>
                              </a:ext>
                            </a:extLst>
                          </a:blip>
                          <a:srcRect l="37256" t="35114" r="37640" b="33420"/>
                          <a:stretch>
                            <a:fillRect/>
                          </a:stretch>
                        </pic:blipFill>
                        <pic:spPr>
                          <a:xfrm>
                            <a:off x="0" y="0"/>
                            <a:ext cx="2955690" cy="1829174"/>
                          </a:xfrm>
                          <a:prstGeom prst="rect">
                            <a:avLst/>
                          </a:prstGeom>
                          <a:ln>
                            <a:noFill/>
                          </a:ln>
                        </pic:spPr>
                      </pic:pic>
                    </a:graphicData>
                  </a:graphic>
                </wp:inline>
              </w:drawing>
            </w:r>
          </w:p>
        </w:tc>
      </w:tr>
    </w:tbl>
    <w:p w14:paraId="70443B4E">
      <w:pPr>
        <w:snapToGrid w:val="0"/>
        <w:spacing w:line="520" w:lineRule="exact"/>
        <w:ind w:firstLine="560"/>
        <w:rPr>
          <w:color w:val="000000"/>
          <w:sz w:val="24"/>
        </w:rPr>
      </w:pPr>
      <w:r>
        <w:rPr>
          <w:color w:val="000000"/>
          <w:sz w:val="24"/>
        </w:rPr>
        <w:t>用于正式主观实验的样本</w:t>
      </w:r>
    </w:p>
    <w:tbl>
      <w:tblPr>
        <w:tblStyle w:val="12"/>
        <w:tblW w:w="7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5580"/>
      </w:tblGrid>
      <w:tr w14:paraId="08F0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795" w:type="dxa"/>
          </w:tcPr>
          <w:p w14:paraId="06CAF259">
            <w:pPr>
              <w:jc w:val="center"/>
            </w:pPr>
            <w:r>
              <w:t>censer_vox12</w:t>
            </w:r>
          </w:p>
        </w:tc>
        <w:tc>
          <w:tcPr>
            <w:tcW w:w="5580" w:type="dxa"/>
          </w:tcPr>
          <w:p w14:paraId="32BFF396">
            <w:pPr>
              <w:jc w:val="center"/>
            </w:pPr>
            <w:r>
              <w:drawing>
                <wp:inline distT="0" distB="0" distL="0" distR="0">
                  <wp:extent cx="2245995" cy="1991360"/>
                  <wp:effectExtent l="0" t="0" r="1905" b="8890"/>
                  <wp:docPr id="378979917" name="图片 378979917" descr="蓝色的花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79917" name="图片 378979917" descr="蓝色的花瓶&#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54559" cy="1999140"/>
                          </a:xfrm>
                          <a:prstGeom prst="rect">
                            <a:avLst/>
                          </a:prstGeom>
                          <a:noFill/>
                          <a:ln>
                            <a:noFill/>
                          </a:ln>
                        </pic:spPr>
                      </pic:pic>
                    </a:graphicData>
                  </a:graphic>
                </wp:inline>
              </w:drawing>
            </w:r>
          </w:p>
        </w:tc>
      </w:tr>
      <w:tr w14:paraId="40DF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795" w:type="dxa"/>
            <w:tcBorders>
              <w:top w:val="single" w:color="auto" w:sz="4" w:space="0"/>
              <w:left w:val="single" w:color="auto" w:sz="4" w:space="0"/>
              <w:bottom w:val="single" w:color="auto" w:sz="4" w:space="0"/>
              <w:right w:val="single" w:color="auto" w:sz="4" w:space="0"/>
            </w:tcBorders>
          </w:tcPr>
          <w:p w14:paraId="6B1A9D87">
            <w:pPr>
              <w:jc w:val="center"/>
            </w:pPr>
            <w:bookmarkStart w:id="9" w:name="_Hlk121509591"/>
            <w:r>
              <w:t>jaguar_vox10</w:t>
            </w:r>
          </w:p>
        </w:tc>
        <w:tc>
          <w:tcPr>
            <w:tcW w:w="5580" w:type="dxa"/>
            <w:tcBorders>
              <w:top w:val="single" w:color="auto" w:sz="4" w:space="0"/>
              <w:left w:val="single" w:color="auto" w:sz="4" w:space="0"/>
              <w:bottom w:val="single" w:color="auto" w:sz="4" w:space="0"/>
              <w:right w:val="single" w:color="auto" w:sz="4" w:space="0"/>
            </w:tcBorders>
          </w:tcPr>
          <w:p w14:paraId="771A23E0">
            <w:pPr>
              <w:jc w:val="center"/>
            </w:pPr>
            <w:r>
              <w:drawing>
                <wp:inline distT="0" distB="0" distL="0" distR="0">
                  <wp:extent cx="3207385" cy="2103120"/>
                  <wp:effectExtent l="0" t="0" r="0" b="0"/>
                  <wp:docPr id="1576238443" name="图片 1576238443" descr="狗们站在一起&#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38443" name="图片 1576238443" descr="狗们站在一起&#10;&#10;AI 生成的内容可能不正确。"/>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219392" cy="2111192"/>
                          </a:xfrm>
                          <a:prstGeom prst="rect">
                            <a:avLst/>
                          </a:prstGeom>
                          <a:noFill/>
                          <a:ln>
                            <a:noFill/>
                          </a:ln>
                        </pic:spPr>
                      </pic:pic>
                    </a:graphicData>
                  </a:graphic>
                </wp:inline>
              </w:drawing>
            </w:r>
          </w:p>
        </w:tc>
      </w:tr>
      <w:bookmarkEnd w:id="9"/>
      <w:tr w14:paraId="368F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795" w:type="dxa"/>
            <w:tcBorders>
              <w:top w:val="single" w:color="auto" w:sz="4" w:space="0"/>
              <w:left w:val="single" w:color="auto" w:sz="4" w:space="0"/>
              <w:bottom w:val="single" w:color="auto" w:sz="4" w:space="0"/>
              <w:right w:val="single" w:color="auto" w:sz="4" w:space="0"/>
            </w:tcBorders>
          </w:tcPr>
          <w:p w14:paraId="02B7D5CE">
            <w:pPr>
              <w:jc w:val="center"/>
            </w:pPr>
            <w:bookmarkStart w:id="10" w:name="_Hlk121509599"/>
            <w:r>
              <w:t>model_vox11</w:t>
            </w:r>
          </w:p>
        </w:tc>
        <w:tc>
          <w:tcPr>
            <w:tcW w:w="5580" w:type="dxa"/>
            <w:tcBorders>
              <w:top w:val="single" w:color="auto" w:sz="4" w:space="0"/>
              <w:left w:val="single" w:color="auto" w:sz="4" w:space="0"/>
              <w:bottom w:val="single" w:color="auto" w:sz="4" w:space="0"/>
              <w:right w:val="single" w:color="auto" w:sz="4" w:space="0"/>
            </w:tcBorders>
          </w:tcPr>
          <w:p w14:paraId="6191EF1D">
            <w:pPr>
              <w:jc w:val="center"/>
            </w:pPr>
            <w:r>
              <w:drawing>
                <wp:inline distT="0" distB="0" distL="0" distR="0">
                  <wp:extent cx="1931035" cy="2301240"/>
                  <wp:effectExtent l="0" t="0" r="0" b="3810"/>
                  <wp:docPr id="158863376" name="图片 158863376" descr="图片包含 女人, 女孩, 小, 雪&#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3376" name="图片 158863376" descr="图片包含 女人, 女孩, 小, 雪&#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940651" cy="2312715"/>
                          </a:xfrm>
                          <a:prstGeom prst="rect">
                            <a:avLst/>
                          </a:prstGeom>
                          <a:noFill/>
                          <a:ln>
                            <a:noFill/>
                          </a:ln>
                        </pic:spPr>
                      </pic:pic>
                    </a:graphicData>
                  </a:graphic>
                </wp:inline>
              </w:drawing>
            </w:r>
          </w:p>
        </w:tc>
      </w:tr>
      <w:bookmarkEnd w:id="10"/>
    </w:tbl>
    <w:p w14:paraId="25D6B444">
      <w:pPr>
        <w:snapToGrid w:val="0"/>
        <w:spacing w:line="520" w:lineRule="exact"/>
        <w:ind w:firstLine="560"/>
        <w:rPr>
          <w:color w:val="000000"/>
          <w:sz w:val="24"/>
        </w:rPr>
      </w:pPr>
      <w:r>
        <w:rPr>
          <w:color w:val="000000"/>
          <w:sz w:val="24"/>
        </w:rPr>
        <w:t>每个参考点云经过AVS PCRM算法以10个码率点（标黄）压缩</w:t>
      </w:r>
      <w:r>
        <w:rPr>
          <w:rFonts w:hint="eastAsia"/>
          <w:color w:val="000000"/>
          <w:sz w:val="24"/>
        </w:rPr>
        <w:t>，如</w:t>
      </w:r>
      <w:r>
        <w:rPr>
          <w:color w:val="000000"/>
          <w:sz w:val="24"/>
        </w:rPr>
        <w:fldChar w:fldCharType="begin"/>
      </w:r>
      <w:r>
        <w:rPr>
          <w:color w:val="000000"/>
          <w:sz w:val="24"/>
        </w:rPr>
        <w:instrText xml:space="preserve"> </w:instrText>
      </w:r>
      <w:r>
        <w:rPr>
          <w:rFonts w:hint="eastAsia"/>
          <w:color w:val="000000"/>
          <w:sz w:val="24"/>
        </w:rPr>
        <w:instrText xml:space="preserve">REF _Ref213771207 \r \h</w:instrText>
      </w:r>
      <w:r>
        <w:rPr>
          <w:color w:val="000000"/>
          <w:sz w:val="24"/>
        </w:rPr>
        <w:instrText xml:space="preserve"> </w:instrText>
      </w:r>
      <w:r>
        <w:rPr>
          <w:color w:val="000000"/>
          <w:sz w:val="24"/>
        </w:rPr>
        <w:fldChar w:fldCharType="separate"/>
      </w:r>
      <w:r>
        <w:rPr>
          <w:rFonts w:hint="eastAsia"/>
          <w:color w:val="000000"/>
          <w:sz w:val="24"/>
        </w:rPr>
        <w:t>表2</w:t>
      </w:r>
      <w:r>
        <w:rPr>
          <w:color w:val="000000"/>
          <w:sz w:val="24"/>
        </w:rPr>
        <w:fldChar w:fldCharType="end"/>
      </w:r>
      <w:r>
        <w:rPr>
          <w:rFonts w:hint="eastAsia"/>
          <w:color w:val="000000"/>
          <w:sz w:val="24"/>
        </w:rPr>
        <w:t>所示</w:t>
      </w:r>
      <w:r>
        <w:rPr>
          <w:color w:val="000000"/>
          <w:sz w:val="24"/>
        </w:rPr>
        <w:t>，其中在主观实验中每个参考点云对应的几何r1属性r1和几何r5属性r6在主观实验中会出现两次作为trapping样本为离异值筛选提供依据。</w:t>
      </w:r>
    </w:p>
    <w:p w14:paraId="456D4723">
      <w:pPr>
        <w:pStyle w:val="33"/>
        <w:numPr>
          <w:ilvl w:val="0"/>
          <w:numId w:val="5"/>
        </w:numPr>
        <w:spacing w:before="60" w:beforeAutospacing="0" w:after="60" w:afterAutospacing="0" w:line="20" w:lineRule="atLeast"/>
        <w:jc w:val="center"/>
        <w:rPr>
          <w:rFonts w:ascii="Times New Roman" w:hAnsi="Times New Roman" w:cs="Times New Roman"/>
          <w:color w:val="000000"/>
          <w:sz w:val="21"/>
          <w:szCs w:val="21"/>
        </w:rPr>
      </w:pPr>
      <w:bookmarkStart w:id="11" w:name="_Ref213771207"/>
      <w:r>
        <w:rPr>
          <w:rFonts w:ascii="Times New Roman" w:hAnsi="Times New Roman" w:cs="Times New Roman"/>
          <w:color w:val="000000"/>
          <w:sz w:val="21"/>
          <w:szCs w:val="21"/>
        </w:rPr>
        <w:t>量化参数选取</w:t>
      </w:r>
      <w:bookmarkEnd w:id="11"/>
    </w:p>
    <w:tbl>
      <w:tblPr>
        <w:tblStyle w:val="12"/>
        <w:tblW w:w="7078" w:type="dxa"/>
        <w:jc w:val="center"/>
        <w:tblLayout w:type="autofit"/>
        <w:tblCellMar>
          <w:top w:w="0" w:type="dxa"/>
          <w:left w:w="0" w:type="dxa"/>
          <w:bottom w:w="0" w:type="dxa"/>
          <w:right w:w="0" w:type="dxa"/>
        </w:tblCellMar>
      </w:tblPr>
      <w:tblGrid>
        <w:gridCol w:w="1265"/>
        <w:gridCol w:w="933"/>
        <w:gridCol w:w="923"/>
        <w:gridCol w:w="980"/>
        <w:gridCol w:w="992"/>
        <w:gridCol w:w="993"/>
        <w:gridCol w:w="992"/>
      </w:tblGrid>
      <w:tr w14:paraId="483DCBD1">
        <w:trPr>
          <w:trHeight w:val="227" w:hRule="atLeast"/>
          <w:jc w:val="center"/>
        </w:trPr>
        <w:tc>
          <w:tcPr>
            <w:tcW w:w="1265" w:type="dxa"/>
            <w:tcBorders>
              <w:top w:val="single" w:color="A5A5A5" w:sz="8" w:space="0"/>
              <w:left w:val="single" w:color="A5A5A5" w:sz="8" w:space="0"/>
              <w:bottom w:val="single" w:color="A5A5A5" w:sz="18" w:space="0"/>
              <w:right w:val="single" w:color="A5A5A5" w:sz="8" w:space="0"/>
              <w:tl2br w:val="single" w:color="000000" w:sz="8" w:space="0"/>
            </w:tcBorders>
            <w:tcMar>
              <w:top w:w="72" w:type="dxa"/>
              <w:left w:w="144" w:type="dxa"/>
              <w:bottom w:w="72" w:type="dxa"/>
              <w:right w:w="144" w:type="dxa"/>
            </w:tcMar>
          </w:tcPr>
          <w:p w14:paraId="507E3C21">
            <w:r>
              <w:rPr>
                <w:b/>
                <w:bCs/>
              </w:rPr>
              <w:t xml:space="preserve">   属性QP几何QP</w:t>
            </w:r>
          </w:p>
        </w:tc>
        <w:tc>
          <w:tcPr>
            <w:tcW w:w="933" w:type="dxa"/>
            <w:tcBorders>
              <w:top w:val="single" w:color="A5A5A5" w:sz="8" w:space="0"/>
              <w:left w:val="single" w:color="A5A5A5" w:sz="8" w:space="0"/>
              <w:bottom w:val="single" w:color="77206E" w:themeColor="accent5" w:themeShade="BF" w:sz="24" w:space="0"/>
              <w:right w:val="single" w:color="A5A5A5" w:sz="8" w:space="0"/>
            </w:tcBorders>
            <w:tcMar>
              <w:top w:w="72" w:type="dxa"/>
              <w:left w:w="144" w:type="dxa"/>
              <w:bottom w:w="72" w:type="dxa"/>
              <w:right w:w="144" w:type="dxa"/>
            </w:tcMar>
          </w:tcPr>
          <w:p w14:paraId="15D5AE59">
            <w:r>
              <w:rPr>
                <w:b/>
                <w:bCs/>
              </w:rPr>
              <w:t>8(r6)</w:t>
            </w:r>
          </w:p>
        </w:tc>
        <w:tc>
          <w:tcPr>
            <w:tcW w:w="923" w:type="dxa"/>
            <w:tcBorders>
              <w:top w:val="single" w:color="A5A5A5" w:sz="8" w:space="0"/>
              <w:left w:val="single" w:color="A5A5A5" w:sz="8" w:space="0"/>
              <w:bottom w:val="dashSmallGap" w:color="156082" w:themeColor="accent1" w:sz="18" w:space="0"/>
              <w:right w:val="single" w:color="A5A5A5" w:sz="8" w:space="0"/>
            </w:tcBorders>
            <w:tcMar>
              <w:top w:w="72" w:type="dxa"/>
              <w:left w:w="144" w:type="dxa"/>
              <w:bottom w:w="72" w:type="dxa"/>
              <w:right w:w="144" w:type="dxa"/>
            </w:tcMar>
          </w:tcPr>
          <w:p w14:paraId="418E3ADD">
            <w:r>
              <w:rPr>
                <w:b/>
                <w:bCs/>
              </w:rPr>
              <w:t>16(r5)</w:t>
            </w:r>
          </w:p>
        </w:tc>
        <w:tc>
          <w:tcPr>
            <w:tcW w:w="980" w:type="dxa"/>
            <w:tcBorders>
              <w:top w:val="single" w:color="A5A5A5" w:sz="8" w:space="0"/>
              <w:left w:val="single" w:color="A5A5A5" w:sz="8" w:space="0"/>
              <w:bottom w:val="single" w:color="A5A5A5" w:sz="18" w:space="0"/>
              <w:right w:val="single" w:color="A5A5A5" w:sz="8" w:space="0"/>
            </w:tcBorders>
            <w:tcMar>
              <w:top w:w="72" w:type="dxa"/>
              <w:left w:w="144" w:type="dxa"/>
              <w:bottom w:w="72" w:type="dxa"/>
              <w:right w:w="144" w:type="dxa"/>
            </w:tcMar>
          </w:tcPr>
          <w:p w14:paraId="08750269">
            <w:r>
              <w:rPr>
                <w:b/>
                <w:bCs/>
              </w:rPr>
              <w:t>24(r4)</w:t>
            </w:r>
          </w:p>
        </w:tc>
        <w:tc>
          <w:tcPr>
            <w:tcW w:w="992" w:type="dxa"/>
            <w:tcBorders>
              <w:top w:val="single" w:color="A5A5A5" w:sz="8" w:space="0"/>
              <w:left w:val="single" w:color="A5A5A5" w:sz="8" w:space="0"/>
              <w:bottom w:val="single" w:color="A5A5A5" w:sz="18" w:space="0"/>
              <w:right w:val="single" w:color="A5A5A5" w:sz="8" w:space="0"/>
            </w:tcBorders>
            <w:tcMar>
              <w:top w:w="72" w:type="dxa"/>
              <w:left w:w="144" w:type="dxa"/>
              <w:bottom w:w="72" w:type="dxa"/>
              <w:right w:w="144" w:type="dxa"/>
            </w:tcMar>
          </w:tcPr>
          <w:p w14:paraId="0BEA2C9F">
            <w:r>
              <w:rPr>
                <w:b/>
                <w:bCs/>
              </w:rPr>
              <w:t>32(r3)</w:t>
            </w:r>
          </w:p>
        </w:tc>
        <w:tc>
          <w:tcPr>
            <w:tcW w:w="993" w:type="dxa"/>
            <w:tcBorders>
              <w:top w:val="single" w:color="A5A5A5" w:sz="8" w:space="0"/>
              <w:left w:val="single" w:color="A5A5A5" w:sz="8" w:space="0"/>
              <w:bottom w:val="single" w:color="A5A5A5" w:sz="18" w:space="0"/>
              <w:right w:val="single" w:color="A5A5A5" w:sz="8" w:space="0"/>
            </w:tcBorders>
            <w:tcMar>
              <w:top w:w="72" w:type="dxa"/>
              <w:left w:w="144" w:type="dxa"/>
              <w:bottom w:w="72" w:type="dxa"/>
              <w:right w:w="144" w:type="dxa"/>
            </w:tcMar>
          </w:tcPr>
          <w:p w14:paraId="31BE8543">
            <w:r>
              <w:rPr>
                <w:b/>
                <w:bCs/>
              </w:rPr>
              <w:t>40(r2)</w:t>
            </w:r>
          </w:p>
        </w:tc>
        <w:tc>
          <w:tcPr>
            <w:tcW w:w="992" w:type="dxa"/>
            <w:tcBorders>
              <w:top w:val="single" w:color="A5A5A5" w:sz="8" w:space="0"/>
              <w:left w:val="single" w:color="A5A5A5" w:sz="8" w:space="0"/>
              <w:bottom w:val="single" w:color="A5A5A5" w:sz="18" w:space="0"/>
              <w:right w:val="single" w:color="A5A5A5" w:sz="8" w:space="0"/>
            </w:tcBorders>
            <w:tcMar>
              <w:top w:w="72" w:type="dxa"/>
              <w:left w:w="144" w:type="dxa"/>
              <w:bottom w:w="72" w:type="dxa"/>
              <w:right w:w="144" w:type="dxa"/>
            </w:tcMar>
          </w:tcPr>
          <w:p w14:paraId="750B2956">
            <w:r>
              <w:rPr>
                <w:b/>
                <w:bCs/>
              </w:rPr>
              <w:t>48(r1)</w:t>
            </w:r>
          </w:p>
        </w:tc>
      </w:tr>
      <w:tr w14:paraId="43FC6906">
        <w:tblPrEx>
          <w:tblCellMar>
            <w:top w:w="0" w:type="dxa"/>
            <w:left w:w="0" w:type="dxa"/>
            <w:bottom w:w="0" w:type="dxa"/>
            <w:right w:w="0" w:type="dxa"/>
          </w:tblCellMar>
        </w:tblPrEx>
        <w:trPr>
          <w:trHeight w:val="227" w:hRule="atLeast"/>
          <w:jc w:val="center"/>
        </w:trPr>
        <w:tc>
          <w:tcPr>
            <w:tcW w:w="1265" w:type="dxa"/>
            <w:tcBorders>
              <w:top w:val="single" w:color="A5A5A5" w:sz="18" w:space="0"/>
              <w:left w:val="single" w:color="A5A5A5" w:sz="8" w:space="0"/>
              <w:bottom w:val="single" w:color="A5A5A5" w:sz="8" w:space="0"/>
              <w:right w:val="single" w:color="77206E" w:themeColor="accent5" w:themeShade="BF" w:sz="24" w:space="0"/>
            </w:tcBorders>
            <w:tcMar>
              <w:top w:w="72" w:type="dxa"/>
              <w:left w:w="144" w:type="dxa"/>
              <w:bottom w:w="72" w:type="dxa"/>
              <w:right w:w="144" w:type="dxa"/>
            </w:tcMar>
          </w:tcPr>
          <w:p w14:paraId="05C0E945">
            <w:r>
              <w:rPr>
                <w:b/>
                <w:bCs/>
              </w:rPr>
              <w:t xml:space="preserve">r1 </w:t>
            </w:r>
          </w:p>
        </w:tc>
        <w:tc>
          <w:tcPr>
            <w:tcW w:w="933" w:type="dxa"/>
            <w:tcBorders>
              <w:top w:val="single" w:color="77206E" w:themeColor="accent5" w:themeShade="BF" w:sz="24" w:space="0"/>
              <w:left w:val="single" w:color="77206E" w:themeColor="accent5" w:themeShade="BF" w:sz="24" w:space="0"/>
              <w:bottom w:val="single" w:color="A5A5A5" w:sz="8" w:space="0"/>
              <w:right w:val="dashSmallGap" w:color="156082" w:themeColor="accent1" w:sz="18" w:space="0"/>
            </w:tcBorders>
            <w:shd w:val="clear" w:color="auto" w:fill="FFFF00"/>
            <w:tcMar>
              <w:top w:w="72" w:type="dxa"/>
              <w:left w:w="144" w:type="dxa"/>
              <w:bottom w:w="72" w:type="dxa"/>
              <w:right w:w="144" w:type="dxa"/>
            </w:tcMar>
          </w:tcPr>
          <w:p w14:paraId="54C1B576"/>
        </w:tc>
        <w:tc>
          <w:tcPr>
            <w:tcW w:w="923" w:type="dxa"/>
            <w:tcBorders>
              <w:top w:val="dashSmallGap" w:color="156082" w:themeColor="accent1" w:sz="18" w:space="0"/>
              <w:left w:val="dashSmallGap" w:color="156082" w:themeColor="accent1" w:sz="18" w:space="0"/>
              <w:bottom w:val="single" w:color="A5A5A5" w:sz="8" w:space="0"/>
              <w:right w:val="dashSmallGap" w:color="156082" w:themeColor="accent1" w:sz="18" w:space="0"/>
            </w:tcBorders>
            <w:shd w:val="clear" w:color="auto" w:fill="C1F0C8" w:themeFill="accent3" w:themeFillTint="33"/>
            <w:tcMar>
              <w:top w:w="72" w:type="dxa"/>
              <w:left w:w="144" w:type="dxa"/>
              <w:bottom w:w="72" w:type="dxa"/>
              <w:right w:w="144" w:type="dxa"/>
            </w:tcMar>
          </w:tcPr>
          <w:p w14:paraId="265B4EF4"/>
        </w:tc>
        <w:tc>
          <w:tcPr>
            <w:tcW w:w="980" w:type="dxa"/>
            <w:tcBorders>
              <w:top w:val="single" w:color="A5A5A5" w:sz="18" w:space="0"/>
              <w:left w:val="dashSmallGap" w:color="156082" w:themeColor="accent1" w:sz="18" w:space="0"/>
              <w:bottom w:val="single" w:color="A5A5A5" w:sz="8" w:space="0"/>
              <w:right w:val="single" w:color="A5A5A5" w:sz="8" w:space="0"/>
            </w:tcBorders>
            <w:shd w:val="clear" w:color="auto" w:fill="FFFFFF"/>
            <w:tcMar>
              <w:top w:w="72" w:type="dxa"/>
              <w:left w:w="144" w:type="dxa"/>
              <w:bottom w:w="72" w:type="dxa"/>
              <w:right w:w="144" w:type="dxa"/>
            </w:tcMar>
          </w:tcPr>
          <w:p w14:paraId="17F0AD60"/>
        </w:tc>
        <w:tc>
          <w:tcPr>
            <w:tcW w:w="992" w:type="dxa"/>
            <w:tcBorders>
              <w:top w:val="single" w:color="A5A5A5" w:sz="18" w:space="0"/>
              <w:left w:val="single" w:color="A5A5A5" w:sz="8" w:space="0"/>
              <w:bottom w:val="single" w:color="A5A5A5" w:sz="8" w:space="0"/>
              <w:right w:val="single" w:color="A5A5A5" w:sz="8" w:space="0"/>
            </w:tcBorders>
            <w:tcMar>
              <w:top w:w="72" w:type="dxa"/>
              <w:left w:w="144" w:type="dxa"/>
              <w:bottom w:w="72" w:type="dxa"/>
              <w:right w:w="144" w:type="dxa"/>
            </w:tcMar>
          </w:tcPr>
          <w:p w14:paraId="07380156"/>
        </w:tc>
        <w:tc>
          <w:tcPr>
            <w:tcW w:w="993" w:type="dxa"/>
            <w:tcBorders>
              <w:top w:val="single" w:color="A5A5A5" w:sz="18" w:space="0"/>
              <w:left w:val="single" w:color="A5A5A5" w:sz="8" w:space="0"/>
              <w:bottom w:val="single" w:color="A5A5A5" w:sz="8" w:space="0"/>
              <w:right w:val="single" w:color="A5A5A5" w:sz="8" w:space="0"/>
            </w:tcBorders>
            <w:shd w:val="clear" w:color="auto" w:fill="FFFFFF"/>
            <w:tcMar>
              <w:top w:w="72" w:type="dxa"/>
              <w:left w:w="144" w:type="dxa"/>
              <w:bottom w:w="72" w:type="dxa"/>
              <w:right w:w="144" w:type="dxa"/>
            </w:tcMar>
          </w:tcPr>
          <w:p w14:paraId="0A980255"/>
        </w:tc>
        <w:tc>
          <w:tcPr>
            <w:tcW w:w="992" w:type="dxa"/>
            <w:tcBorders>
              <w:top w:val="single" w:color="A5A5A5" w:sz="18" w:space="0"/>
              <w:left w:val="single" w:color="A5A5A5" w:sz="8" w:space="0"/>
              <w:bottom w:val="single" w:color="A5A5A5" w:sz="8" w:space="0"/>
              <w:right w:val="single" w:color="A5A5A5" w:sz="8" w:space="0"/>
            </w:tcBorders>
            <w:shd w:val="clear" w:color="auto" w:fill="FFFF00"/>
            <w:tcMar>
              <w:top w:w="72" w:type="dxa"/>
              <w:left w:w="144" w:type="dxa"/>
              <w:bottom w:w="72" w:type="dxa"/>
              <w:right w:w="144" w:type="dxa"/>
            </w:tcMar>
          </w:tcPr>
          <w:p w14:paraId="049E324D"/>
        </w:tc>
      </w:tr>
      <w:tr w14:paraId="0AAAB582">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77206E" w:themeColor="accent5" w:themeShade="BF" w:sz="24" w:space="0"/>
            </w:tcBorders>
            <w:tcMar>
              <w:top w:w="72" w:type="dxa"/>
              <w:left w:w="144" w:type="dxa"/>
              <w:bottom w:w="72" w:type="dxa"/>
              <w:right w:w="144" w:type="dxa"/>
            </w:tcMar>
          </w:tcPr>
          <w:p w14:paraId="4555D5BC">
            <w:r>
              <w:rPr>
                <w:b/>
                <w:bCs/>
              </w:rPr>
              <w:t>r1.5</w:t>
            </w:r>
          </w:p>
        </w:tc>
        <w:tc>
          <w:tcPr>
            <w:tcW w:w="933" w:type="dxa"/>
            <w:tcBorders>
              <w:top w:val="single" w:color="A5A5A5" w:sz="8" w:space="0"/>
              <w:left w:val="single" w:color="77206E" w:themeColor="accent5" w:themeShade="BF" w:sz="24" w:space="0"/>
              <w:bottom w:val="single" w:color="A5A5A5" w:sz="8" w:space="0"/>
              <w:right w:val="dashSmallGap" w:color="156082" w:themeColor="accent1" w:sz="18" w:space="0"/>
            </w:tcBorders>
            <w:shd w:val="clear" w:color="auto" w:fill="FFFF00"/>
            <w:tcMar>
              <w:top w:w="72" w:type="dxa"/>
              <w:left w:w="144" w:type="dxa"/>
              <w:bottom w:w="72" w:type="dxa"/>
              <w:right w:w="144" w:type="dxa"/>
            </w:tcMar>
          </w:tcPr>
          <w:p w14:paraId="08F55CE0"/>
        </w:tc>
        <w:tc>
          <w:tcPr>
            <w:tcW w:w="923" w:type="dxa"/>
            <w:tcBorders>
              <w:top w:val="single" w:color="A5A5A5" w:sz="8" w:space="0"/>
              <w:left w:val="dashSmallGap" w:color="156082" w:themeColor="accent1" w:sz="18" w:space="0"/>
              <w:bottom w:val="single" w:color="A5A5A5" w:sz="8" w:space="0"/>
              <w:right w:val="dashSmallGap" w:color="156082" w:themeColor="accent1" w:sz="18" w:space="0"/>
            </w:tcBorders>
            <w:shd w:val="clear" w:color="auto" w:fill="C1F0C8" w:themeFill="accent3" w:themeFillTint="33"/>
            <w:tcMar>
              <w:top w:w="72" w:type="dxa"/>
              <w:left w:w="144" w:type="dxa"/>
              <w:bottom w:w="72" w:type="dxa"/>
              <w:right w:w="144" w:type="dxa"/>
            </w:tcMar>
          </w:tcPr>
          <w:p w14:paraId="47F8AD1B"/>
        </w:tc>
        <w:tc>
          <w:tcPr>
            <w:tcW w:w="980" w:type="dxa"/>
            <w:tcBorders>
              <w:top w:val="single" w:color="A5A5A5" w:sz="8" w:space="0"/>
              <w:left w:val="dashSmallGap" w:color="156082" w:themeColor="accent1" w:sz="18" w:space="0"/>
              <w:bottom w:val="single" w:color="A5A5A5" w:sz="8" w:space="0"/>
              <w:right w:val="single" w:color="A5A5A5" w:sz="8" w:space="0"/>
            </w:tcBorders>
            <w:shd w:val="clear" w:color="auto" w:fill="FFFFFF" w:themeFill="background1"/>
            <w:tcMar>
              <w:top w:w="72" w:type="dxa"/>
              <w:left w:w="144" w:type="dxa"/>
              <w:bottom w:w="72" w:type="dxa"/>
              <w:right w:w="144" w:type="dxa"/>
            </w:tcMar>
          </w:tcPr>
          <w:p w14:paraId="2A15B356"/>
        </w:tc>
        <w:tc>
          <w:tcPr>
            <w:tcW w:w="992" w:type="dxa"/>
            <w:tcBorders>
              <w:top w:val="single" w:color="A5A5A5" w:sz="8" w:space="0"/>
              <w:left w:val="single" w:color="A5A5A5" w:sz="8" w:space="0"/>
              <w:bottom w:val="single" w:color="A5A5A5" w:sz="8" w:space="0"/>
              <w:right w:val="single" w:color="A5A5A5" w:sz="8" w:space="0"/>
            </w:tcBorders>
            <w:shd w:val="clear" w:color="auto" w:fill="FFFFFF" w:themeFill="background1"/>
            <w:tcMar>
              <w:top w:w="72" w:type="dxa"/>
              <w:left w:w="144" w:type="dxa"/>
              <w:bottom w:w="72" w:type="dxa"/>
              <w:right w:w="144" w:type="dxa"/>
            </w:tcMar>
          </w:tcPr>
          <w:p w14:paraId="1D8DAB82"/>
        </w:tc>
        <w:tc>
          <w:tcPr>
            <w:tcW w:w="993" w:type="dxa"/>
            <w:tcBorders>
              <w:top w:val="single" w:color="A5A5A5" w:sz="8" w:space="0"/>
              <w:left w:val="single" w:color="A5A5A5" w:sz="8" w:space="0"/>
              <w:bottom w:val="single" w:color="A5A5A5" w:sz="8" w:space="0"/>
              <w:right w:val="single" w:color="A5A5A5" w:sz="8" w:space="0"/>
            </w:tcBorders>
            <w:shd w:val="clear" w:color="auto" w:fill="FFFF00"/>
            <w:tcMar>
              <w:top w:w="72" w:type="dxa"/>
              <w:left w:w="144" w:type="dxa"/>
              <w:bottom w:w="72" w:type="dxa"/>
              <w:right w:w="144" w:type="dxa"/>
            </w:tcMar>
          </w:tcPr>
          <w:p w14:paraId="5EF955B8"/>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1E5A563A"/>
        </w:tc>
      </w:tr>
      <w:tr w14:paraId="26FC3953">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77206E" w:themeColor="accent5" w:themeShade="BF" w:sz="24" w:space="0"/>
            </w:tcBorders>
            <w:tcMar>
              <w:top w:w="72" w:type="dxa"/>
              <w:left w:w="144" w:type="dxa"/>
              <w:bottom w:w="72" w:type="dxa"/>
              <w:right w:w="144" w:type="dxa"/>
            </w:tcMar>
          </w:tcPr>
          <w:p w14:paraId="5201E5D0">
            <w:r>
              <w:rPr>
                <w:b/>
                <w:bCs/>
              </w:rPr>
              <w:t>r2</w:t>
            </w:r>
          </w:p>
        </w:tc>
        <w:tc>
          <w:tcPr>
            <w:tcW w:w="933" w:type="dxa"/>
            <w:tcBorders>
              <w:top w:val="single" w:color="A5A5A5" w:sz="8" w:space="0"/>
              <w:left w:val="single" w:color="77206E" w:themeColor="accent5" w:themeShade="BF" w:sz="24" w:space="0"/>
              <w:bottom w:val="single" w:color="A5A5A5" w:sz="8" w:space="0"/>
              <w:right w:val="dashSmallGap" w:color="156082" w:themeColor="accent1" w:sz="18" w:space="0"/>
            </w:tcBorders>
            <w:shd w:val="clear" w:color="auto" w:fill="FFFF00"/>
            <w:tcMar>
              <w:top w:w="72" w:type="dxa"/>
              <w:left w:w="144" w:type="dxa"/>
              <w:bottom w:w="72" w:type="dxa"/>
              <w:right w:w="144" w:type="dxa"/>
            </w:tcMar>
          </w:tcPr>
          <w:p w14:paraId="2DDA2F23"/>
        </w:tc>
        <w:tc>
          <w:tcPr>
            <w:tcW w:w="923" w:type="dxa"/>
            <w:tcBorders>
              <w:top w:val="single" w:color="A5A5A5" w:sz="8" w:space="0"/>
              <w:left w:val="dashSmallGap" w:color="156082" w:themeColor="accent1" w:sz="18" w:space="0"/>
              <w:bottom w:val="single" w:color="A5A5A5" w:sz="8" w:space="0"/>
              <w:right w:val="dashSmallGap" w:color="156082" w:themeColor="accent1" w:sz="18" w:space="0"/>
            </w:tcBorders>
            <w:shd w:val="clear" w:color="auto" w:fill="C1F0C8" w:themeFill="accent3" w:themeFillTint="33"/>
            <w:tcMar>
              <w:top w:w="72" w:type="dxa"/>
              <w:left w:w="144" w:type="dxa"/>
              <w:bottom w:w="72" w:type="dxa"/>
              <w:right w:w="144" w:type="dxa"/>
            </w:tcMar>
          </w:tcPr>
          <w:p w14:paraId="264F0BA3"/>
        </w:tc>
        <w:tc>
          <w:tcPr>
            <w:tcW w:w="980" w:type="dxa"/>
            <w:tcBorders>
              <w:top w:val="single" w:color="A5A5A5" w:sz="8" w:space="0"/>
              <w:left w:val="dashSmallGap" w:color="156082" w:themeColor="accent1" w:sz="18" w:space="0"/>
              <w:bottom w:val="single" w:color="A5A5A5" w:sz="8" w:space="0"/>
              <w:right w:val="single" w:color="A5A5A5" w:sz="8" w:space="0"/>
            </w:tcBorders>
            <w:shd w:val="clear" w:color="auto" w:fill="FFFFFF"/>
            <w:tcMar>
              <w:top w:w="72" w:type="dxa"/>
              <w:left w:w="144" w:type="dxa"/>
              <w:bottom w:w="72" w:type="dxa"/>
              <w:right w:w="144" w:type="dxa"/>
            </w:tcMar>
          </w:tcPr>
          <w:p w14:paraId="417E2F5A"/>
        </w:tc>
        <w:tc>
          <w:tcPr>
            <w:tcW w:w="992" w:type="dxa"/>
            <w:tcBorders>
              <w:top w:val="single" w:color="A5A5A5" w:sz="8" w:space="0"/>
              <w:left w:val="single" w:color="A5A5A5" w:sz="8" w:space="0"/>
              <w:bottom w:val="single" w:color="A5A5A5" w:sz="8" w:space="0"/>
              <w:right w:val="single" w:color="A5A5A5" w:sz="8" w:space="0"/>
            </w:tcBorders>
            <w:shd w:val="clear" w:color="auto" w:fill="FFFF00"/>
            <w:tcMar>
              <w:top w:w="72" w:type="dxa"/>
              <w:left w:w="144" w:type="dxa"/>
              <w:bottom w:w="72" w:type="dxa"/>
              <w:right w:w="144" w:type="dxa"/>
            </w:tcMar>
          </w:tcPr>
          <w:p w14:paraId="20EB5FF2"/>
        </w:tc>
        <w:tc>
          <w:tcPr>
            <w:tcW w:w="993" w:type="dxa"/>
            <w:tcBorders>
              <w:top w:val="single" w:color="A5A5A5" w:sz="8" w:space="0"/>
              <w:left w:val="single" w:color="A5A5A5" w:sz="8" w:space="0"/>
              <w:bottom w:val="single" w:color="A5A5A5" w:sz="8" w:space="0"/>
              <w:right w:val="single" w:color="A5A5A5" w:sz="8" w:space="0"/>
            </w:tcBorders>
            <w:shd w:val="clear" w:color="auto" w:fill="FFFFFF"/>
            <w:tcMar>
              <w:top w:w="72" w:type="dxa"/>
              <w:left w:w="144" w:type="dxa"/>
              <w:bottom w:w="72" w:type="dxa"/>
              <w:right w:w="144" w:type="dxa"/>
            </w:tcMar>
          </w:tcPr>
          <w:p w14:paraId="00CC8F00"/>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42969C6F"/>
        </w:tc>
      </w:tr>
      <w:tr w14:paraId="68955FC6">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77206E" w:themeColor="accent5" w:themeShade="BF" w:sz="24" w:space="0"/>
            </w:tcBorders>
            <w:tcMar>
              <w:top w:w="72" w:type="dxa"/>
              <w:left w:w="144" w:type="dxa"/>
              <w:bottom w:w="72" w:type="dxa"/>
              <w:right w:w="144" w:type="dxa"/>
            </w:tcMar>
          </w:tcPr>
          <w:p w14:paraId="352FF2C7">
            <w:r>
              <w:rPr>
                <w:b/>
                <w:bCs/>
              </w:rPr>
              <w:t>r3</w:t>
            </w:r>
          </w:p>
        </w:tc>
        <w:tc>
          <w:tcPr>
            <w:tcW w:w="933" w:type="dxa"/>
            <w:tcBorders>
              <w:top w:val="single" w:color="A5A5A5" w:sz="8" w:space="0"/>
              <w:left w:val="single" w:color="77206E" w:themeColor="accent5" w:themeShade="BF" w:sz="24" w:space="0"/>
              <w:bottom w:val="single" w:color="A5A5A5" w:sz="8" w:space="0"/>
              <w:right w:val="dashSmallGap" w:color="156082" w:themeColor="accent1" w:sz="18" w:space="0"/>
            </w:tcBorders>
            <w:shd w:val="clear" w:color="auto" w:fill="FFFFFF" w:themeFill="background1"/>
            <w:tcMar>
              <w:top w:w="72" w:type="dxa"/>
              <w:left w:w="144" w:type="dxa"/>
              <w:bottom w:w="72" w:type="dxa"/>
              <w:right w:w="144" w:type="dxa"/>
            </w:tcMar>
          </w:tcPr>
          <w:p w14:paraId="0B819D07"/>
        </w:tc>
        <w:tc>
          <w:tcPr>
            <w:tcW w:w="923" w:type="dxa"/>
            <w:tcBorders>
              <w:top w:val="single" w:color="A5A5A5" w:sz="8" w:space="0"/>
              <w:left w:val="dashSmallGap" w:color="156082" w:themeColor="accent1" w:sz="18" w:space="0"/>
              <w:bottom w:val="single" w:color="A5A5A5" w:sz="8" w:space="0"/>
              <w:right w:val="dashSmallGap" w:color="156082" w:themeColor="accent1" w:sz="18" w:space="0"/>
            </w:tcBorders>
            <w:tcMar>
              <w:top w:w="72" w:type="dxa"/>
              <w:left w:w="144" w:type="dxa"/>
              <w:bottom w:w="72" w:type="dxa"/>
              <w:right w:w="144" w:type="dxa"/>
            </w:tcMar>
          </w:tcPr>
          <w:p w14:paraId="0671DC21"/>
        </w:tc>
        <w:tc>
          <w:tcPr>
            <w:tcW w:w="980" w:type="dxa"/>
            <w:tcBorders>
              <w:top w:val="single" w:color="A5A5A5" w:sz="8" w:space="0"/>
              <w:left w:val="dashSmallGap" w:color="156082" w:themeColor="accent1" w:sz="18" w:space="0"/>
              <w:bottom w:val="single" w:color="A5A5A5" w:sz="8" w:space="0"/>
              <w:right w:val="single" w:color="A5A5A5" w:sz="8" w:space="0"/>
            </w:tcBorders>
            <w:shd w:val="clear" w:color="auto" w:fill="FFFFFF" w:themeFill="background1"/>
            <w:tcMar>
              <w:top w:w="72" w:type="dxa"/>
              <w:left w:w="144" w:type="dxa"/>
              <w:bottom w:w="72" w:type="dxa"/>
              <w:right w:w="144" w:type="dxa"/>
            </w:tcMar>
          </w:tcPr>
          <w:p w14:paraId="59169582"/>
        </w:tc>
        <w:tc>
          <w:tcPr>
            <w:tcW w:w="992" w:type="dxa"/>
            <w:tcBorders>
              <w:top w:val="single" w:color="A5A5A5" w:sz="8" w:space="0"/>
              <w:left w:val="single" w:color="A5A5A5" w:sz="8" w:space="0"/>
              <w:bottom w:val="single" w:color="A5A5A5" w:sz="8" w:space="0"/>
              <w:right w:val="single" w:color="A5A5A5" w:sz="8" w:space="0"/>
            </w:tcBorders>
            <w:shd w:val="clear" w:color="auto" w:fill="FFFFFF" w:themeFill="background1"/>
            <w:tcMar>
              <w:top w:w="72" w:type="dxa"/>
              <w:left w:w="144" w:type="dxa"/>
              <w:bottom w:w="72" w:type="dxa"/>
              <w:right w:w="144" w:type="dxa"/>
            </w:tcMar>
          </w:tcPr>
          <w:p w14:paraId="52728CEB"/>
        </w:tc>
        <w:tc>
          <w:tcPr>
            <w:tcW w:w="993" w:type="dxa"/>
            <w:tcBorders>
              <w:top w:val="single" w:color="A5A5A5" w:sz="8" w:space="0"/>
              <w:left w:val="single" w:color="A5A5A5" w:sz="8" w:space="0"/>
              <w:bottom w:val="single" w:color="A5A5A5" w:sz="8" w:space="0"/>
              <w:right w:val="single" w:color="A5A5A5" w:sz="8" w:space="0"/>
            </w:tcBorders>
            <w:shd w:val="clear" w:color="auto" w:fill="FFFFFF" w:themeFill="background1"/>
            <w:tcMar>
              <w:top w:w="72" w:type="dxa"/>
              <w:left w:w="144" w:type="dxa"/>
              <w:bottom w:w="72" w:type="dxa"/>
              <w:right w:w="144" w:type="dxa"/>
            </w:tcMar>
          </w:tcPr>
          <w:p w14:paraId="0F94F468"/>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6070F5DF"/>
        </w:tc>
      </w:tr>
      <w:tr w14:paraId="43371872">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77206E" w:themeColor="accent5" w:themeShade="BF" w:sz="24" w:space="0"/>
            </w:tcBorders>
            <w:tcMar>
              <w:top w:w="72" w:type="dxa"/>
              <w:left w:w="144" w:type="dxa"/>
              <w:bottom w:w="72" w:type="dxa"/>
              <w:right w:w="144" w:type="dxa"/>
            </w:tcMar>
          </w:tcPr>
          <w:p w14:paraId="4588211F">
            <w:r>
              <w:rPr>
                <w:b/>
                <w:bCs/>
              </w:rPr>
              <w:t>r4</w:t>
            </w:r>
          </w:p>
        </w:tc>
        <w:tc>
          <w:tcPr>
            <w:tcW w:w="933" w:type="dxa"/>
            <w:tcBorders>
              <w:top w:val="single" w:color="A5A5A5" w:sz="8" w:space="0"/>
              <w:left w:val="single" w:color="77206E" w:themeColor="accent5" w:themeShade="BF" w:sz="24" w:space="0"/>
              <w:bottom w:val="single" w:color="A5A5A5" w:sz="8" w:space="0"/>
              <w:right w:val="dashSmallGap" w:color="156082" w:themeColor="accent1" w:sz="18" w:space="0"/>
            </w:tcBorders>
            <w:shd w:val="clear" w:color="auto" w:fill="FFFFFF" w:themeFill="background1"/>
            <w:tcMar>
              <w:top w:w="72" w:type="dxa"/>
              <w:left w:w="144" w:type="dxa"/>
              <w:bottom w:w="72" w:type="dxa"/>
              <w:right w:w="144" w:type="dxa"/>
            </w:tcMar>
          </w:tcPr>
          <w:p w14:paraId="126B7536"/>
        </w:tc>
        <w:tc>
          <w:tcPr>
            <w:tcW w:w="923" w:type="dxa"/>
            <w:tcBorders>
              <w:top w:val="single" w:color="A5A5A5" w:sz="8" w:space="0"/>
              <w:left w:val="dashSmallGap" w:color="156082" w:themeColor="accent1" w:sz="18" w:space="0"/>
              <w:bottom w:val="single" w:color="A5A5A5" w:sz="8" w:space="0"/>
              <w:right w:val="dashSmallGap" w:color="156082" w:themeColor="accent1" w:sz="18" w:space="0"/>
            </w:tcBorders>
            <w:shd w:val="clear" w:color="auto" w:fill="FFFFFF" w:themeFill="background1"/>
            <w:tcMar>
              <w:top w:w="72" w:type="dxa"/>
              <w:left w:w="144" w:type="dxa"/>
              <w:bottom w:w="72" w:type="dxa"/>
              <w:right w:w="144" w:type="dxa"/>
            </w:tcMar>
          </w:tcPr>
          <w:p w14:paraId="3F7C4F04"/>
        </w:tc>
        <w:tc>
          <w:tcPr>
            <w:tcW w:w="980" w:type="dxa"/>
            <w:tcBorders>
              <w:top w:val="single" w:color="A5A5A5" w:sz="8" w:space="0"/>
              <w:left w:val="dashSmallGap" w:color="156082" w:themeColor="accent1" w:sz="18" w:space="0"/>
              <w:bottom w:val="single" w:color="A5A5A5" w:sz="8" w:space="0"/>
              <w:right w:val="single" w:color="A5A5A5" w:sz="8" w:space="0"/>
            </w:tcBorders>
            <w:tcMar>
              <w:top w:w="72" w:type="dxa"/>
              <w:left w:w="144" w:type="dxa"/>
              <w:bottom w:w="72" w:type="dxa"/>
              <w:right w:w="144" w:type="dxa"/>
            </w:tcMar>
          </w:tcPr>
          <w:p w14:paraId="1EF02159"/>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7D3C2573"/>
        </w:tc>
        <w:tc>
          <w:tcPr>
            <w:tcW w:w="993"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0775AFFB"/>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48ECE5C2"/>
        </w:tc>
      </w:tr>
      <w:tr w14:paraId="05033383">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77206E" w:themeColor="accent5" w:themeShade="BF" w:sz="24" w:space="0"/>
            </w:tcBorders>
            <w:tcMar>
              <w:top w:w="72" w:type="dxa"/>
              <w:left w:w="144" w:type="dxa"/>
              <w:bottom w:w="72" w:type="dxa"/>
              <w:right w:w="144" w:type="dxa"/>
            </w:tcMar>
          </w:tcPr>
          <w:p w14:paraId="33B1A681">
            <w:r>
              <w:rPr>
                <w:b/>
                <w:bCs/>
              </w:rPr>
              <w:t>r5</w:t>
            </w:r>
          </w:p>
        </w:tc>
        <w:tc>
          <w:tcPr>
            <w:tcW w:w="933" w:type="dxa"/>
            <w:tcBorders>
              <w:top w:val="single" w:color="A5A5A5" w:sz="8" w:space="0"/>
              <w:left w:val="single" w:color="77206E" w:themeColor="accent5" w:themeShade="BF" w:sz="24" w:space="0"/>
              <w:bottom w:val="single" w:color="77206E" w:themeColor="accent5" w:themeShade="BF" w:sz="24" w:space="0"/>
              <w:right w:val="dashSmallGap" w:color="156082" w:themeColor="accent1" w:sz="18" w:space="0"/>
            </w:tcBorders>
            <w:shd w:val="clear" w:color="auto" w:fill="FFFF00"/>
            <w:tcMar>
              <w:top w:w="72" w:type="dxa"/>
              <w:left w:w="144" w:type="dxa"/>
              <w:bottom w:w="72" w:type="dxa"/>
              <w:right w:w="144" w:type="dxa"/>
            </w:tcMar>
          </w:tcPr>
          <w:p w14:paraId="414D7B94"/>
        </w:tc>
        <w:tc>
          <w:tcPr>
            <w:tcW w:w="923" w:type="dxa"/>
            <w:tcBorders>
              <w:top w:val="single" w:color="A5A5A5" w:sz="8" w:space="0"/>
              <w:left w:val="dashSmallGap" w:color="156082" w:themeColor="accent1" w:sz="18" w:space="0"/>
              <w:bottom w:val="dashSmallGap" w:color="156082" w:themeColor="accent1" w:sz="18" w:space="0"/>
              <w:right w:val="dashSmallGap" w:color="156082" w:themeColor="accent1" w:sz="18" w:space="0"/>
            </w:tcBorders>
            <w:shd w:val="clear" w:color="auto" w:fill="C1F0C8" w:themeFill="accent3" w:themeFillTint="33"/>
            <w:tcMar>
              <w:top w:w="72" w:type="dxa"/>
              <w:left w:w="144" w:type="dxa"/>
              <w:bottom w:w="72" w:type="dxa"/>
              <w:right w:w="144" w:type="dxa"/>
            </w:tcMar>
          </w:tcPr>
          <w:p w14:paraId="548AB900"/>
        </w:tc>
        <w:tc>
          <w:tcPr>
            <w:tcW w:w="980" w:type="dxa"/>
            <w:tcBorders>
              <w:top w:val="single" w:color="A5A5A5" w:sz="8" w:space="0"/>
              <w:left w:val="dashSmallGap" w:color="156082" w:themeColor="accent1" w:sz="18" w:space="0"/>
              <w:bottom w:val="single" w:color="A5A5A5" w:sz="8" w:space="0"/>
              <w:right w:val="single" w:color="A5A5A5" w:sz="8" w:space="0"/>
            </w:tcBorders>
            <w:shd w:val="clear" w:color="auto" w:fill="FFFFFF" w:themeFill="background1"/>
            <w:tcMar>
              <w:top w:w="72" w:type="dxa"/>
              <w:left w:w="144" w:type="dxa"/>
              <w:bottom w:w="72" w:type="dxa"/>
              <w:right w:w="144" w:type="dxa"/>
            </w:tcMar>
          </w:tcPr>
          <w:p w14:paraId="68E825D7"/>
        </w:tc>
        <w:tc>
          <w:tcPr>
            <w:tcW w:w="992" w:type="dxa"/>
            <w:tcBorders>
              <w:top w:val="single" w:color="A5A5A5" w:sz="8" w:space="0"/>
              <w:left w:val="single" w:color="A5A5A5" w:sz="8" w:space="0"/>
              <w:bottom w:val="single" w:color="A5A5A5" w:sz="8" w:space="0"/>
              <w:right w:val="single" w:color="A5A5A5" w:sz="8" w:space="0"/>
            </w:tcBorders>
            <w:shd w:val="clear" w:color="auto" w:fill="FFFF00"/>
            <w:tcMar>
              <w:top w:w="72" w:type="dxa"/>
              <w:left w:w="144" w:type="dxa"/>
              <w:bottom w:w="72" w:type="dxa"/>
              <w:right w:w="144" w:type="dxa"/>
            </w:tcMar>
          </w:tcPr>
          <w:p w14:paraId="2D009813"/>
        </w:tc>
        <w:tc>
          <w:tcPr>
            <w:tcW w:w="993" w:type="dxa"/>
            <w:tcBorders>
              <w:top w:val="single" w:color="A5A5A5" w:sz="8" w:space="0"/>
              <w:left w:val="single" w:color="A5A5A5" w:sz="8" w:space="0"/>
              <w:bottom w:val="single" w:color="A5A5A5" w:sz="8" w:space="0"/>
              <w:right w:val="single" w:color="A5A5A5" w:sz="8" w:space="0"/>
            </w:tcBorders>
            <w:shd w:val="clear" w:color="auto" w:fill="FFFF00"/>
            <w:tcMar>
              <w:top w:w="72" w:type="dxa"/>
              <w:left w:w="144" w:type="dxa"/>
              <w:bottom w:w="72" w:type="dxa"/>
              <w:right w:w="144" w:type="dxa"/>
            </w:tcMar>
          </w:tcPr>
          <w:p w14:paraId="0AD6EB1F"/>
        </w:tc>
        <w:tc>
          <w:tcPr>
            <w:tcW w:w="992" w:type="dxa"/>
            <w:tcBorders>
              <w:top w:val="single" w:color="A5A5A5" w:sz="8" w:space="0"/>
              <w:left w:val="single" w:color="A5A5A5" w:sz="8" w:space="0"/>
              <w:bottom w:val="single" w:color="A5A5A5" w:sz="8" w:space="0"/>
              <w:right w:val="single" w:color="A5A5A5" w:sz="8" w:space="0"/>
            </w:tcBorders>
            <w:shd w:val="clear" w:color="auto" w:fill="FFFF00"/>
            <w:tcMar>
              <w:top w:w="72" w:type="dxa"/>
              <w:left w:w="144" w:type="dxa"/>
              <w:bottom w:w="72" w:type="dxa"/>
              <w:right w:w="144" w:type="dxa"/>
            </w:tcMar>
          </w:tcPr>
          <w:p w14:paraId="7206AC0C"/>
        </w:tc>
      </w:tr>
      <w:tr w14:paraId="466CA9CC">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66DBD253">
            <w:r>
              <w:rPr>
                <w:b/>
                <w:bCs/>
              </w:rPr>
              <w:t>r6</w:t>
            </w:r>
          </w:p>
        </w:tc>
        <w:tc>
          <w:tcPr>
            <w:tcW w:w="933" w:type="dxa"/>
            <w:tcBorders>
              <w:top w:val="single" w:color="77206E" w:themeColor="accent5" w:themeShade="BF" w:sz="24" w:space="0"/>
              <w:left w:val="single" w:color="A5A5A5" w:sz="8" w:space="0"/>
              <w:bottom w:val="single" w:color="A5A5A5" w:sz="8" w:space="0"/>
              <w:right w:val="single" w:color="A5A5A5" w:sz="8" w:space="0"/>
            </w:tcBorders>
            <w:tcMar>
              <w:top w:w="72" w:type="dxa"/>
              <w:left w:w="144" w:type="dxa"/>
              <w:bottom w:w="72" w:type="dxa"/>
              <w:right w:w="144" w:type="dxa"/>
            </w:tcMar>
          </w:tcPr>
          <w:p w14:paraId="1A209AAA"/>
        </w:tc>
        <w:tc>
          <w:tcPr>
            <w:tcW w:w="923" w:type="dxa"/>
            <w:tcBorders>
              <w:top w:val="dashSmallGap" w:color="156082" w:themeColor="accent1" w:sz="18" w:space="0"/>
              <w:left w:val="single" w:color="A5A5A5" w:sz="8" w:space="0"/>
              <w:bottom w:val="single" w:color="A5A5A5" w:sz="8" w:space="0"/>
              <w:right w:val="single" w:color="A5A5A5" w:sz="8" w:space="0"/>
            </w:tcBorders>
            <w:tcMar>
              <w:top w:w="72" w:type="dxa"/>
              <w:left w:w="144" w:type="dxa"/>
              <w:bottom w:w="72" w:type="dxa"/>
              <w:right w:w="144" w:type="dxa"/>
            </w:tcMar>
          </w:tcPr>
          <w:p w14:paraId="6FDA1D6F"/>
        </w:tc>
        <w:tc>
          <w:tcPr>
            <w:tcW w:w="980"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1DA81593"/>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5450719B"/>
        </w:tc>
        <w:tc>
          <w:tcPr>
            <w:tcW w:w="993"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2D2332E8"/>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3A64C1D4"/>
        </w:tc>
      </w:tr>
      <w:tr w14:paraId="5B9C5BE0">
        <w:tblPrEx>
          <w:tblCellMar>
            <w:top w:w="0" w:type="dxa"/>
            <w:left w:w="0" w:type="dxa"/>
            <w:bottom w:w="0" w:type="dxa"/>
            <w:right w:w="0" w:type="dxa"/>
          </w:tblCellMar>
        </w:tblPrEx>
        <w:trPr>
          <w:trHeight w:val="227" w:hRule="atLeast"/>
          <w:jc w:val="center"/>
        </w:trPr>
        <w:tc>
          <w:tcPr>
            <w:tcW w:w="1265"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51BAD166">
            <w:r>
              <w:t>无损</w:t>
            </w:r>
          </w:p>
        </w:tc>
        <w:tc>
          <w:tcPr>
            <w:tcW w:w="933"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07000B2D"/>
        </w:tc>
        <w:tc>
          <w:tcPr>
            <w:tcW w:w="923"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27B97E03"/>
        </w:tc>
        <w:tc>
          <w:tcPr>
            <w:tcW w:w="980"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12240991"/>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0B8FB64D"/>
        </w:tc>
        <w:tc>
          <w:tcPr>
            <w:tcW w:w="993"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23516B69"/>
        </w:tc>
        <w:tc>
          <w:tcPr>
            <w:tcW w:w="992" w:type="dxa"/>
            <w:tcBorders>
              <w:top w:val="single" w:color="A5A5A5" w:sz="8" w:space="0"/>
              <w:left w:val="single" w:color="A5A5A5" w:sz="8" w:space="0"/>
              <w:bottom w:val="single" w:color="A5A5A5" w:sz="8" w:space="0"/>
              <w:right w:val="single" w:color="A5A5A5" w:sz="8" w:space="0"/>
            </w:tcBorders>
            <w:tcMar>
              <w:top w:w="72" w:type="dxa"/>
              <w:left w:w="144" w:type="dxa"/>
              <w:bottom w:w="72" w:type="dxa"/>
              <w:right w:w="144" w:type="dxa"/>
            </w:tcMar>
          </w:tcPr>
          <w:p w14:paraId="059260E8"/>
        </w:tc>
      </w:tr>
    </w:tbl>
    <w:p w14:paraId="12530277">
      <w:pPr>
        <w:pStyle w:val="33"/>
        <w:numPr>
          <w:ilvl w:val="0"/>
          <w:numId w:val="5"/>
        </w:numPr>
        <w:spacing w:before="60" w:beforeAutospacing="0" w:after="60" w:afterAutospacing="0" w:line="20" w:lineRule="atLeast"/>
        <w:jc w:val="center"/>
        <w:rPr>
          <w:rFonts w:ascii="Times New Roman" w:hAnsi="Times New Roman" w:cs="Times New Roman"/>
          <w:color w:val="000000"/>
          <w:sz w:val="21"/>
          <w:szCs w:val="21"/>
        </w:rPr>
      </w:pPr>
      <w:r>
        <w:rPr>
          <w:rFonts w:ascii="Times New Roman" w:hAnsi="Times New Roman" w:cs="Times New Roman"/>
          <w:color w:val="000000"/>
          <w:sz w:val="21"/>
          <w:szCs w:val="21"/>
        </w:rPr>
        <w:t>几何量化步长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884"/>
        <w:gridCol w:w="884"/>
        <w:gridCol w:w="884"/>
        <w:gridCol w:w="884"/>
        <w:gridCol w:w="884"/>
        <w:gridCol w:w="884"/>
        <w:gridCol w:w="884"/>
        <w:gridCol w:w="884"/>
      </w:tblGrid>
      <w:tr w14:paraId="3BCF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 w:hRule="atLeast"/>
          <w:jc w:val="center"/>
        </w:trPr>
        <w:tc>
          <w:tcPr>
            <w:tcW w:w="1106" w:type="dxa"/>
            <w:vMerge w:val="restart"/>
            <w:tcBorders>
              <w:top w:val="single" w:color="auto" w:sz="4" w:space="0"/>
              <w:left w:val="single" w:color="auto" w:sz="4" w:space="0"/>
              <w:bottom w:val="single" w:color="auto" w:sz="4" w:space="0"/>
              <w:right w:val="single" w:color="auto" w:sz="4" w:space="0"/>
            </w:tcBorders>
          </w:tcPr>
          <w:p w14:paraId="1592596A">
            <w:pPr>
              <w:jc w:val="center"/>
              <w:rPr>
                <w:b/>
                <w:sz w:val="18"/>
              </w:rPr>
            </w:pPr>
            <w:r>
              <w:rPr>
                <w:b/>
                <w:sz w:val="18"/>
              </w:rPr>
              <w:t>几何位宽</w:t>
            </w:r>
          </w:p>
          <w:p w14:paraId="2A7CE43E">
            <w:pPr>
              <w:jc w:val="center"/>
              <w:rPr>
                <w:b/>
                <w:sz w:val="18"/>
              </w:rPr>
            </w:pPr>
            <w:r>
              <w:rPr>
                <w:b/>
                <w:sz w:val="18"/>
              </w:rPr>
              <w:t>bits</w:t>
            </w:r>
          </w:p>
        </w:tc>
        <w:tc>
          <w:tcPr>
            <w:tcW w:w="884" w:type="dxa"/>
            <w:tcBorders>
              <w:top w:val="single" w:color="auto" w:sz="4" w:space="0"/>
              <w:left w:val="single" w:color="auto" w:sz="4" w:space="0"/>
              <w:bottom w:val="single" w:color="auto" w:sz="4" w:space="0"/>
              <w:right w:val="single" w:color="auto" w:sz="4" w:space="0"/>
            </w:tcBorders>
          </w:tcPr>
          <w:p w14:paraId="144CE2DC">
            <w:pPr>
              <w:jc w:val="center"/>
              <w:rPr>
                <w:b/>
                <w:sz w:val="18"/>
              </w:rPr>
            </w:pPr>
          </w:p>
        </w:tc>
        <w:tc>
          <w:tcPr>
            <w:tcW w:w="884" w:type="dxa"/>
            <w:tcBorders>
              <w:top w:val="single" w:color="auto" w:sz="4" w:space="0"/>
              <w:left w:val="single" w:color="auto" w:sz="4" w:space="0"/>
              <w:bottom w:val="single" w:color="auto" w:sz="4" w:space="0"/>
              <w:right w:val="single" w:color="auto" w:sz="4" w:space="0"/>
            </w:tcBorders>
          </w:tcPr>
          <w:p w14:paraId="64A7DE92">
            <w:pPr>
              <w:jc w:val="center"/>
              <w:rPr>
                <w:b/>
                <w:sz w:val="18"/>
              </w:rPr>
            </w:pPr>
          </w:p>
        </w:tc>
        <w:tc>
          <w:tcPr>
            <w:tcW w:w="5304" w:type="dxa"/>
            <w:gridSpan w:val="6"/>
            <w:tcBorders>
              <w:top w:val="single" w:color="auto" w:sz="4" w:space="0"/>
              <w:left w:val="single" w:color="auto" w:sz="4" w:space="0"/>
              <w:bottom w:val="single" w:color="auto" w:sz="4" w:space="0"/>
              <w:right w:val="single" w:color="auto" w:sz="4" w:space="0"/>
            </w:tcBorders>
          </w:tcPr>
          <w:p w14:paraId="17128047">
            <w:pPr>
              <w:jc w:val="center"/>
              <w:rPr>
                <w:b/>
                <w:sz w:val="18"/>
                <w:szCs w:val="18"/>
                <w:lang w:eastAsia="fr-FR"/>
              </w:rPr>
            </w:pPr>
            <w:r>
              <w:rPr>
                <w:b/>
                <w:sz w:val="18"/>
              </w:rPr>
              <w:t>几何量化步长</w:t>
            </w:r>
          </w:p>
        </w:tc>
      </w:tr>
      <w:tr w14:paraId="10A8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vMerge w:val="continue"/>
            <w:tcBorders>
              <w:top w:val="single" w:color="auto" w:sz="4" w:space="0"/>
              <w:left w:val="single" w:color="auto" w:sz="4" w:space="0"/>
              <w:bottom w:val="single" w:color="auto" w:sz="4" w:space="0"/>
              <w:right w:val="single" w:color="auto" w:sz="4" w:space="0"/>
            </w:tcBorders>
            <w:vAlign w:val="center"/>
          </w:tcPr>
          <w:p w14:paraId="2EE70AB9">
            <w:pPr>
              <w:rPr>
                <w:b/>
                <w:sz w:val="18"/>
                <w:lang w:eastAsia="en-US"/>
              </w:rPr>
            </w:pPr>
          </w:p>
        </w:tc>
        <w:tc>
          <w:tcPr>
            <w:tcW w:w="884" w:type="dxa"/>
            <w:tcBorders>
              <w:top w:val="single" w:color="auto" w:sz="4" w:space="0"/>
              <w:left w:val="single" w:color="auto" w:sz="4" w:space="0"/>
              <w:bottom w:val="single" w:color="auto" w:sz="4" w:space="0"/>
              <w:right w:val="single" w:color="auto" w:sz="4" w:space="0"/>
            </w:tcBorders>
          </w:tcPr>
          <w:p w14:paraId="70932CF3">
            <w:pPr>
              <w:jc w:val="center"/>
              <w:rPr>
                <w:b/>
                <w:sz w:val="18"/>
                <w:szCs w:val="18"/>
              </w:rPr>
            </w:pPr>
            <w:r>
              <w:rPr>
                <w:b/>
                <w:sz w:val="18"/>
                <w:szCs w:val="18"/>
              </w:rPr>
              <w:t>无损</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59306CFF">
            <w:pPr>
              <w:jc w:val="center"/>
              <w:rPr>
                <w:b/>
                <w:sz w:val="18"/>
                <w:szCs w:val="18"/>
                <w:lang w:eastAsia="fr-FR"/>
              </w:rPr>
            </w:pPr>
            <w:r>
              <w:rPr>
                <w:b/>
                <w:sz w:val="18"/>
                <w:szCs w:val="18"/>
              </w:rPr>
              <w:t>r</w:t>
            </w:r>
            <w:r>
              <w:rPr>
                <w:b/>
                <w:sz w:val="18"/>
                <w:szCs w:val="18"/>
                <w:lang w:eastAsia="fr-FR"/>
              </w:rPr>
              <w:t>6</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1D2631B">
            <w:pPr>
              <w:jc w:val="center"/>
              <w:rPr>
                <w:b/>
                <w:sz w:val="18"/>
                <w:szCs w:val="18"/>
                <w:lang w:eastAsia="fr-FR"/>
              </w:rPr>
            </w:pPr>
            <w:r>
              <w:rPr>
                <w:b/>
                <w:sz w:val="18"/>
                <w:szCs w:val="18"/>
                <w:lang w:eastAsia="fr-FR"/>
              </w:rPr>
              <w:t>r5</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F30CEEF">
            <w:pPr>
              <w:jc w:val="center"/>
              <w:rPr>
                <w:b/>
                <w:sz w:val="18"/>
                <w:szCs w:val="18"/>
                <w:lang w:eastAsia="fr-FR"/>
              </w:rPr>
            </w:pPr>
            <w:r>
              <w:rPr>
                <w:b/>
                <w:sz w:val="18"/>
                <w:szCs w:val="18"/>
                <w:lang w:eastAsia="fr-FR"/>
              </w:rPr>
              <w:t>r4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E7F95A5">
            <w:pPr>
              <w:jc w:val="center"/>
              <w:rPr>
                <w:b/>
                <w:sz w:val="18"/>
                <w:szCs w:val="18"/>
                <w:lang w:eastAsia="fr-FR"/>
              </w:rPr>
            </w:pPr>
            <w:r>
              <w:rPr>
                <w:b/>
                <w:sz w:val="18"/>
                <w:szCs w:val="18"/>
                <w:lang w:eastAsia="fr-FR"/>
              </w:rPr>
              <w:t>r3</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F9CA74B">
            <w:pPr>
              <w:jc w:val="center"/>
              <w:rPr>
                <w:b/>
                <w:sz w:val="18"/>
                <w:szCs w:val="18"/>
                <w:lang w:eastAsia="fr-FR"/>
              </w:rPr>
            </w:pPr>
            <w:r>
              <w:rPr>
                <w:b/>
                <w:sz w:val="18"/>
                <w:szCs w:val="18"/>
                <w:lang w:eastAsia="fr-FR"/>
              </w:rPr>
              <w:t>r2</w:t>
            </w:r>
          </w:p>
        </w:tc>
        <w:tc>
          <w:tcPr>
            <w:tcW w:w="884" w:type="dxa"/>
            <w:tcBorders>
              <w:top w:val="single" w:color="auto" w:sz="4" w:space="0"/>
              <w:left w:val="single" w:color="auto" w:sz="4" w:space="0"/>
              <w:bottom w:val="single" w:color="auto" w:sz="4" w:space="0"/>
              <w:right w:val="single" w:color="auto" w:sz="4" w:space="0"/>
            </w:tcBorders>
          </w:tcPr>
          <w:p w14:paraId="77CAC59B">
            <w:pPr>
              <w:jc w:val="center"/>
              <w:rPr>
                <w:b/>
                <w:sz w:val="18"/>
                <w:szCs w:val="18"/>
              </w:rPr>
            </w:pPr>
            <w:r>
              <w:rPr>
                <w:b/>
                <w:sz w:val="18"/>
                <w:szCs w:val="18"/>
              </w:rPr>
              <w:t>r1.5=(r2+r1)/2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90BB196">
            <w:pPr>
              <w:jc w:val="center"/>
              <w:rPr>
                <w:b/>
                <w:sz w:val="18"/>
                <w:szCs w:val="18"/>
                <w:lang w:eastAsia="fr-FR"/>
              </w:rPr>
            </w:pPr>
            <w:r>
              <w:rPr>
                <w:b/>
                <w:sz w:val="18"/>
                <w:szCs w:val="18"/>
                <w:lang w:eastAsia="fr-FR"/>
              </w:rPr>
              <w:t>r1</w:t>
            </w:r>
          </w:p>
        </w:tc>
      </w:tr>
      <w:tr w14:paraId="6F11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2FEBCF6F">
            <w:pPr>
              <w:jc w:val="center"/>
              <w:rPr>
                <w:b/>
                <w:sz w:val="18"/>
                <w:szCs w:val="18"/>
                <w:lang w:eastAsia="fr-FR"/>
              </w:rPr>
            </w:pPr>
            <w:r>
              <w:rPr>
                <w:b/>
                <w:sz w:val="18"/>
                <w:szCs w:val="18"/>
                <w:lang w:eastAsia="fr-FR"/>
              </w:rPr>
              <w:t>&gt;= 15</w:t>
            </w:r>
          </w:p>
        </w:tc>
        <w:tc>
          <w:tcPr>
            <w:tcW w:w="884" w:type="dxa"/>
            <w:vMerge w:val="restart"/>
            <w:tcBorders>
              <w:top w:val="single" w:color="auto" w:sz="4" w:space="0"/>
              <w:left w:val="single" w:color="auto" w:sz="4" w:space="0"/>
              <w:right w:val="single" w:color="auto" w:sz="4" w:space="0"/>
            </w:tcBorders>
            <w:vAlign w:val="center"/>
          </w:tcPr>
          <w:p w14:paraId="048190E5">
            <w:pPr>
              <w:jc w:val="center"/>
              <w:rPr>
                <w:b/>
                <w:sz w:val="18"/>
                <w:szCs w:val="18"/>
              </w:rPr>
            </w:pPr>
            <w:r>
              <w:rPr>
                <w:b/>
                <w:sz w:val="18"/>
                <w:szCs w:val="18"/>
              </w:rPr>
              <w:t>1</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9A0642D">
            <w:pPr>
              <w:jc w:val="center"/>
              <w:rPr>
                <w:b/>
                <w:sz w:val="18"/>
                <w:szCs w:val="18"/>
                <w:lang w:eastAsia="fr-FR"/>
              </w:rPr>
            </w:pPr>
            <w:r>
              <w:rPr>
                <w:b/>
                <w:sz w:val="18"/>
                <w:szCs w:val="18"/>
                <w:lang w:eastAsia="fr-FR"/>
              </w:rPr>
              <w:t>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92FFB06">
            <w:pPr>
              <w:jc w:val="center"/>
              <w:rPr>
                <w:b/>
                <w:sz w:val="18"/>
                <w:szCs w:val="18"/>
                <w:lang w:eastAsia="fr-FR"/>
              </w:rPr>
            </w:pPr>
            <w:r>
              <w:rPr>
                <w:b/>
                <w:sz w:val="18"/>
                <w:szCs w:val="18"/>
                <w:lang w:eastAsia="fr-FR"/>
              </w:rPr>
              <w:t>8</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0BDE593">
            <w:pPr>
              <w:jc w:val="center"/>
              <w:rPr>
                <w:b/>
                <w:sz w:val="18"/>
                <w:szCs w:val="18"/>
                <w:lang w:eastAsia="fr-FR"/>
              </w:rPr>
            </w:pPr>
            <w:r>
              <w:rPr>
                <w:b/>
                <w:sz w:val="18"/>
                <w:szCs w:val="18"/>
                <w:lang w:eastAsia="fr-FR"/>
              </w:rPr>
              <w:t>32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01D34C8">
            <w:pPr>
              <w:jc w:val="center"/>
              <w:rPr>
                <w:b/>
                <w:sz w:val="18"/>
                <w:szCs w:val="18"/>
                <w:lang w:eastAsia="fr-FR"/>
              </w:rPr>
            </w:pPr>
            <w:r>
              <w:rPr>
                <w:b/>
                <w:sz w:val="18"/>
                <w:szCs w:val="18"/>
                <w:lang w:eastAsia="fr-FR"/>
              </w:rPr>
              <w:t>64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2B7ECA94">
            <w:pPr>
              <w:jc w:val="center"/>
              <w:rPr>
                <w:b/>
                <w:sz w:val="18"/>
                <w:szCs w:val="18"/>
                <w:lang w:eastAsia="fr-FR"/>
              </w:rPr>
            </w:pPr>
            <w:r>
              <w:rPr>
                <w:b/>
                <w:sz w:val="18"/>
                <w:szCs w:val="18"/>
                <w:lang w:eastAsia="fr-FR"/>
              </w:rPr>
              <w:t>256</w:t>
            </w:r>
          </w:p>
        </w:tc>
        <w:tc>
          <w:tcPr>
            <w:tcW w:w="884" w:type="dxa"/>
            <w:tcBorders>
              <w:top w:val="single" w:color="auto" w:sz="4" w:space="0"/>
              <w:left w:val="single" w:color="auto" w:sz="4" w:space="0"/>
              <w:bottom w:val="single" w:color="auto" w:sz="4" w:space="0"/>
              <w:right w:val="single" w:color="auto" w:sz="4" w:space="0"/>
            </w:tcBorders>
          </w:tcPr>
          <w:p w14:paraId="3A2E553A">
            <w:pPr>
              <w:jc w:val="center"/>
              <w:rPr>
                <w:b/>
                <w:sz w:val="18"/>
                <w:szCs w:val="18"/>
                <w:lang w:eastAsia="fr-FR"/>
              </w:rPr>
            </w:pPr>
            <w:r>
              <w:rPr>
                <w:b/>
                <w:sz w:val="18"/>
                <w:szCs w:val="18"/>
                <w:lang w:eastAsia="fr-FR"/>
              </w:rPr>
              <w:t>384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E885429">
            <w:pPr>
              <w:jc w:val="center"/>
              <w:rPr>
                <w:b/>
                <w:sz w:val="18"/>
                <w:szCs w:val="18"/>
                <w:lang w:eastAsia="fr-FR"/>
              </w:rPr>
            </w:pPr>
            <w:r>
              <w:rPr>
                <w:b/>
                <w:sz w:val="18"/>
                <w:szCs w:val="18"/>
                <w:lang w:eastAsia="fr-FR"/>
              </w:rPr>
              <w:t>512</w:t>
            </w:r>
          </w:p>
        </w:tc>
      </w:tr>
      <w:tr w14:paraId="621B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09422C7B">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14</w:t>
            </w:r>
          </w:p>
        </w:tc>
        <w:tc>
          <w:tcPr>
            <w:tcW w:w="884" w:type="dxa"/>
            <w:vMerge w:val="continue"/>
            <w:tcBorders>
              <w:left w:val="single" w:color="auto" w:sz="4" w:space="0"/>
              <w:right w:val="single" w:color="auto" w:sz="4" w:space="0"/>
            </w:tcBorders>
          </w:tcPr>
          <w:p w14:paraId="4AB10EE0">
            <w:pPr>
              <w:jc w:val="center"/>
              <w:rPr>
                <w:b/>
                <w:bCs/>
                <w:color w:val="000000" w:themeColor="text1"/>
                <w:sz w:val="18"/>
                <w:szCs w:val="18"/>
                <w14:textFill>
                  <w14:solidFill>
                    <w14:schemeClr w14:val="tx1"/>
                  </w14:solidFill>
                </w14:textFill>
              </w:rPr>
            </w:pP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59476F4">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2BA41E5F">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522DF109">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16</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784CDE5">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64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CDBAC0C">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128</w:t>
            </w:r>
          </w:p>
        </w:tc>
        <w:tc>
          <w:tcPr>
            <w:tcW w:w="884" w:type="dxa"/>
            <w:tcBorders>
              <w:top w:val="single" w:color="auto" w:sz="4" w:space="0"/>
              <w:left w:val="single" w:color="auto" w:sz="4" w:space="0"/>
              <w:bottom w:val="single" w:color="auto" w:sz="4" w:space="0"/>
              <w:right w:val="single" w:color="auto" w:sz="4" w:space="0"/>
            </w:tcBorders>
          </w:tcPr>
          <w:p w14:paraId="22642ABE">
            <w:pPr>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192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7C88174">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256</w:t>
            </w:r>
          </w:p>
        </w:tc>
      </w:tr>
      <w:tr w14:paraId="6892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48DE75C9">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13</w:t>
            </w:r>
          </w:p>
        </w:tc>
        <w:tc>
          <w:tcPr>
            <w:tcW w:w="884" w:type="dxa"/>
            <w:vMerge w:val="continue"/>
            <w:tcBorders>
              <w:left w:val="single" w:color="auto" w:sz="4" w:space="0"/>
              <w:right w:val="single" w:color="auto" w:sz="4" w:space="0"/>
            </w:tcBorders>
          </w:tcPr>
          <w:p w14:paraId="19598746">
            <w:pPr>
              <w:jc w:val="center"/>
              <w:rPr>
                <w:b/>
                <w:bCs/>
                <w:color w:val="000000" w:themeColor="text1"/>
                <w:sz w:val="18"/>
                <w:szCs w:val="18"/>
                <w14:textFill>
                  <w14:solidFill>
                    <w14:schemeClr w14:val="tx1"/>
                  </w14:solidFill>
                </w14:textFill>
              </w:rPr>
            </w:pP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AA74772">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E6CB10A">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AD09131">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E5EE65C">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16</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59B81DEE">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32</w:t>
            </w:r>
          </w:p>
        </w:tc>
        <w:tc>
          <w:tcPr>
            <w:tcW w:w="884" w:type="dxa"/>
            <w:tcBorders>
              <w:top w:val="single" w:color="auto" w:sz="4" w:space="0"/>
              <w:left w:val="single" w:color="auto" w:sz="4" w:space="0"/>
              <w:bottom w:val="single" w:color="auto" w:sz="4" w:space="0"/>
              <w:right w:val="single" w:color="auto" w:sz="4" w:space="0"/>
            </w:tcBorders>
          </w:tcPr>
          <w:p w14:paraId="07610A62">
            <w:pPr>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48</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0D7F9B1">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64</w:t>
            </w:r>
          </w:p>
        </w:tc>
      </w:tr>
      <w:tr w14:paraId="731C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5F4D6E32">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12</w:t>
            </w:r>
          </w:p>
        </w:tc>
        <w:tc>
          <w:tcPr>
            <w:tcW w:w="884" w:type="dxa"/>
            <w:vMerge w:val="continue"/>
            <w:tcBorders>
              <w:left w:val="single" w:color="auto" w:sz="4" w:space="0"/>
              <w:right w:val="single" w:color="auto" w:sz="4" w:space="0"/>
            </w:tcBorders>
          </w:tcPr>
          <w:p w14:paraId="3889562C">
            <w:pPr>
              <w:jc w:val="center"/>
              <w:rPr>
                <w:b/>
                <w:bCs/>
                <w:color w:val="000000" w:themeColor="text1"/>
                <w:sz w:val="18"/>
                <w:szCs w:val="18"/>
                <w14:textFill>
                  <w14:solidFill>
                    <w14:schemeClr w14:val="tx1"/>
                  </w14:solidFill>
                </w14:textFill>
              </w:rPr>
            </w:pP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7BB9FF1">
            <w:pPr>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4/3</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3F39EBE">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41DAFB8">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1EB17BC">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22FA64BC">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16</w:t>
            </w:r>
          </w:p>
        </w:tc>
        <w:tc>
          <w:tcPr>
            <w:tcW w:w="884" w:type="dxa"/>
            <w:tcBorders>
              <w:top w:val="single" w:color="auto" w:sz="4" w:space="0"/>
              <w:left w:val="single" w:color="auto" w:sz="4" w:space="0"/>
              <w:bottom w:val="single" w:color="auto" w:sz="4" w:space="0"/>
              <w:right w:val="single" w:color="auto" w:sz="4" w:space="0"/>
            </w:tcBorders>
          </w:tcPr>
          <w:p w14:paraId="7AF7472D">
            <w:pPr>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24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B72831A">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32</w:t>
            </w:r>
          </w:p>
        </w:tc>
      </w:tr>
      <w:tr w14:paraId="31AF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27DDF2EE">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11</w:t>
            </w:r>
          </w:p>
        </w:tc>
        <w:tc>
          <w:tcPr>
            <w:tcW w:w="884" w:type="dxa"/>
            <w:vMerge w:val="continue"/>
            <w:tcBorders>
              <w:left w:val="single" w:color="auto" w:sz="4" w:space="0"/>
              <w:right w:val="single" w:color="auto" w:sz="4" w:space="0"/>
            </w:tcBorders>
          </w:tcPr>
          <w:p w14:paraId="08BD6BC2">
            <w:pPr>
              <w:jc w:val="center"/>
              <w:rPr>
                <w:b/>
                <w:bCs/>
                <w:color w:val="000000" w:themeColor="text1"/>
                <w:sz w:val="18"/>
                <w:szCs w:val="18"/>
                <w14:textFill>
                  <w14:solidFill>
                    <w14:schemeClr w14:val="tx1"/>
                  </w14:solidFill>
                </w14:textFill>
              </w:rPr>
            </w:pP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5DB960A">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8/7</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417F00D">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4/3</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560E437">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11FBC04">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97CBB78">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w:t>
            </w:r>
          </w:p>
        </w:tc>
        <w:tc>
          <w:tcPr>
            <w:tcW w:w="884" w:type="dxa"/>
            <w:tcBorders>
              <w:top w:val="single" w:color="auto" w:sz="4" w:space="0"/>
              <w:left w:val="single" w:color="auto" w:sz="4" w:space="0"/>
              <w:bottom w:val="single" w:color="auto" w:sz="4" w:space="0"/>
              <w:right w:val="single" w:color="auto" w:sz="4" w:space="0"/>
            </w:tcBorders>
          </w:tcPr>
          <w:p w14:paraId="4130D884">
            <w:pPr>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12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9EF056A">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16</w:t>
            </w:r>
          </w:p>
        </w:tc>
      </w:tr>
      <w:tr w14:paraId="6212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333F2A00">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10</w:t>
            </w:r>
          </w:p>
        </w:tc>
        <w:tc>
          <w:tcPr>
            <w:tcW w:w="884" w:type="dxa"/>
            <w:vMerge w:val="continue"/>
            <w:tcBorders>
              <w:left w:val="single" w:color="auto" w:sz="4" w:space="0"/>
              <w:right w:val="single" w:color="auto" w:sz="4" w:space="0"/>
            </w:tcBorders>
          </w:tcPr>
          <w:p w14:paraId="193B1D6A">
            <w:pPr>
              <w:jc w:val="center"/>
              <w:rPr>
                <w:b/>
                <w:bCs/>
                <w:color w:val="000000" w:themeColor="text1"/>
                <w:sz w:val="18"/>
                <w:szCs w:val="18"/>
                <w14:textFill>
                  <w14:solidFill>
                    <w14:schemeClr w14:val="tx1"/>
                  </w14:solidFill>
                </w14:textFill>
              </w:rPr>
            </w:pP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BE43611">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16/15</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CFAD363">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8/7</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D8C530F">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4/3</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B5B34FA">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2</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50C1C16">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4</w:t>
            </w:r>
          </w:p>
        </w:tc>
        <w:tc>
          <w:tcPr>
            <w:tcW w:w="884" w:type="dxa"/>
            <w:tcBorders>
              <w:top w:val="single" w:color="auto" w:sz="4" w:space="0"/>
              <w:left w:val="single" w:color="auto" w:sz="4" w:space="0"/>
              <w:bottom w:val="single" w:color="auto" w:sz="4" w:space="0"/>
              <w:right w:val="single" w:color="auto" w:sz="4" w:space="0"/>
            </w:tcBorders>
          </w:tcPr>
          <w:p w14:paraId="0C9E337D">
            <w:pPr>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6</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2C29FE6E">
            <w:pPr>
              <w:jc w:val="center"/>
              <w:rPr>
                <w:b/>
                <w:bCs/>
                <w:color w:val="000000" w:themeColor="text1"/>
                <w:sz w:val="18"/>
                <w:szCs w:val="18"/>
                <w:lang w:eastAsia="fr-FR"/>
                <w14:textFill>
                  <w14:solidFill>
                    <w14:schemeClr w14:val="tx1"/>
                  </w14:solidFill>
                </w14:textFill>
              </w:rPr>
            </w:pPr>
            <w:r>
              <w:rPr>
                <w:b/>
                <w:bCs/>
                <w:color w:val="000000" w:themeColor="text1"/>
                <w:sz w:val="18"/>
                <w:szCs w:val="18"/>
                <w14:textFill>
                  <w14:solidFill>
                    <w14:schemeClr w14:val="tx1"/>
                  </w14:solidFill>
                </w14:textFill>
              </w:rPr>
              <w:t>8</w:t>
            </w:r>
          </w:p>
        </w:tc>
      </w:tr>
      <w:tr w14:paraId="23ED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06" w:type="dxa"/>
            <w:tcBorders>
              <w:top w:val="single" w:color="auto" w:sz="4" w:space="0"/>
              <w:left w:val="single" w:color="auto" w:sz="4" w:space="0"/>
              <w:bottom w:val="single" w:color="auto" w:sz="4" w:space="0"/>
              <w:right w:val="single" w:color="auto" w:sz="4" w:space="0"/>
            </w:tcBorders>
          </w:tcPr>
          <w:p w14:paraId="7C075AA3">
            <w:pPr>
              <w:jc w:val="center"/>
              <w:rPr>
                <w:b/>
                <w:bCs/>
                <w:sz w:val="18"/>
                <w:szCs w:val="18"/>
              </w:rPr>
            </w:pPr>
            <w:r>
              <w:rPr>
                <w:b/>
                <w:bCs/>
                <w:sz w:val="18"/>
                <w:szCs w:val="18"/>
              </w:rPr>
              <w:t>9</w:t>
            </w:r>
          </w:p>
        </w:tc>
        <w:tc>
          <w:tcPr>
            <w:tcW w:w="884" w:type="dxa"/>
            <w:vMerge w:val="continue"/>
            <w:tcBorders>
              <w:left w:val="single" w:color="auto" w:sz="4" w:space="0"/>
              <w:bottom w:val="single" w:color="auto" w:sz="4" w:space="0"/>
              <w:right w:val="single" w:color="auto" w:sz="4" w:space="0"/>
            </w:tcBorders>
          </w:tcPr>
          <w:p w14:paraId="412D1826">
            <w:pPr>
              <w:jc w:val="center"/>
              <w:rPr>
                <w:b/>
                <w:bCs/>
                <w:sz w:val="18"/>
                <w:szCs w:val="18"/>
              </w:rPr>
            </w:pP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A044A16">
            <w:pPr>
              <w:jc w:val="center"/>
              <w:rPr>
                <w:b/>
                <w:bCs/>
                <w:sz w:val="18"/>
                <w:szCs w:val="18"/>
              </w:rPr>
            </w:pPr>
            <w:r>
              <w:rPr>
                <w:b/>
                <w:bCs/>
                <w:sz w:val="18"/>
                <w:szCs w:val="18"/>
              </w:rPr>
              <w:t>32/31</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19B177F">
            <w:pPr>
              <w:jc w:val="center"/>
              <w:rPr>
                <w:b/>
                <w:bCs/>
                <w:sz w:val="18"/>
                <w:szCs w:val="18"/>
              </w:rPr>
            </w:pPr>
            <w:r>
              <w:rPr>
                <w:b/>
                <w:bCs/>
                <w:sz w:val="18"/>
                <w:szCs w:val="18"/>
              </w:rPr>
              <w:t>16/15</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5E10D07">
            <w:pPr>
              <w:jc w:val="center"/>
              <w:rPr>
                <w:b/>
                <w:bCs/>
                <w:sz w:val="18"/>
                <w:szCs w:val="18"/>
              </w:rPr>
            </w:pPr>
            <w:r>
              <w:rPr>
                <w:b/>
                <w:bCs/>
                <w:sz w:val="18"/>
                <w:szCs w:val="18"/>
              </w:rPr>
              <w:t>8/7</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25BD6743">
            <w:pPr>
              <w:jc w:val="center"/>
              <w:rPr>
                <w:b/>
                <w:bCs/>
                <w:sz w:val="18"/>
                <w:szCs w:val="18"/>
              </w:rPr>
            </w:pPr>
            <w:r>
              <w:rPr>
                <w:b/>
                <w:bCs/>
                <w:sz w:val="18"/>
                <w:szCs w:val="18"/>
              </w:rPr>
              <w:t>4/3</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E2F4523">
            <w:pPr>
              <w:jc w:val="center"/>
              <w:rPr>
                <w:b/>
                <w:bCs/>
                <w:sz w:val="18"/>
                <w:szCs w:val="18"/>
              </w:rPr>
            </w:pPr>
            <w:r>
              <w:rPr>
                <w:b/>
                <w:bCs/>
                <w:sz w:val="18"/>
                <w:szCs w:val="18"/>
              </w:rPr>
              <w:t>2</w:t>
            </w:r>
          </w:p>
        </w:tc>
        <w:tc>
          <w:tcPr>
            <w:tcW w:w="884" w:type="dxa"/>
            <w:tcBorders>
              <w:top w:val="single" w:color="auto" w:sz="4" w:space="0"/>
              <w:left w:val="single" w:color="auto" w:sz="4" w:space="0"/>
              <w:bottom w:val="single" w:color="auto" w:sz="4" w:space="0"/>
              <w:right w:val="single" w:color="auto" w:sz="4" w:space="0"/>
            </w:tcBorders>
          </w:tcPr>
          <w:p w14:paraId="267C3AB7">
            <w:pPr>
              <w:jc w:val="center"/>
              <w:rPr>
                <w:b/>
                <w:bCs/>
                <w:sz w:val="18"/>
                <w:szCs w:val="18"/>
              </w:rPr>
            </w:pPr>
            <w:r>
              <w:rPr>
                <w:b/>
                <w:bCs/>
                <w:sz w:val="18"/>
                <w:szCs w:val="18"/>
              </w:rPr>
              <w:t>3</w:t>
            </w:r>
          </w:p>
        </w:tc>
        <w:tc>
          <w:tcPr>
            <w:tcW w:w="88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6E540A5">
            <w:pPr>
              <w:jc w:val="center"/>
              <w:rPr>
                <w:b/>
                <w:bCs/>
                <w:sz w:val="18"/>
                <w:szCs w:val="18"/>
              </w:rPr>
            </w:pPr>
            <w:r>
              <w:rPr>
                <w:b/>
                <w:bCs/>
                <w:sz w:val="18"/>
                <w:szCs w:val="18"/>
              </w:rPr>
              <w:t>4</w:t>
            </w:r>
          </w:p>
        </w:tc>
      </w:tr>
    </w:tbl>
    <w:p w14:paraId="5F855DEC">
      <w:pPr>
        <w:snapToGrid w:val="0"/>
        <w:spacing w:line="520" w:lineRule="exact"/>
        <w:ind w:firstLine="560"/>
        <w:rPr>
          <w:color w:val="000000"/>
          <w:sz w:val="24"/>
        </w:rPr>
      </w:pPr>
      <w:r>
        <w:rPr>
          <w:color w:val="000000"/>
          <w:sz w:val="24"/>
        </w:rPr>
        <w:t>VR可交互式点云质量评价方案所提供的主观实验软件采用双激励显示模式，参考点云与失真点云以点的形式同时渲染到虚拟场景中，样本渲染大小设置为软件默认，观看的过程中允许受试者可以自由旋转点云样本（不允许进行放缩）。</w:t>
      </w:r>
    </w:p>
    <w:p w14:paraId="74A74135">
      <w:pPr>
        <w:jc w:val="center"/>
      </w:pPr>
      <w:r>
        <w:rPr>
          <w:b/>
          <w:bCs/>
          <w:sz w:val="24"/>
        </w:rPr>
        <w:drawing>
          <wp:inline distT="0" distB="0" distL="0" distR="0">
            <wp:extent cx="4241800" cy="2381885"/>
            <wp:effectExtent l="0" t="0" r="6350" b="0"/>
            <wp:docPr id="1058272036" name="图片 105827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72036" name="图片 10582720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241800" cy="2381885"/>
                    </a:xfrm>
                    <a:prstGeom prst="rect">
                      <a:avLst/>
                    </a:prstGeom>
                    <a:noFill/>
                    <a:ln>
                      <a:noFill/>
                    </a:ln>
                  </pic:spPr>
                </pic:pic>
              </a:graphicData>
            </a:graphic>
          </wp:inline>
        </w:drawing>
      </w:r>
    </w:p>
    <w:p w14:paraId="4F7D7641">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r>
        <w:rPr>
          <w:rFonts w:ascii="Times New Roman" w:hAnsi="Times New Roman" w:eastAsia="黑体" w:cs="Times New Roman"/>
          <w:color w:val="000000"/>
          <w:sz w:val="21"/>
          <w:szCs w:val="21"/>
        </w:rPr>
        <w:t>显示格式示例</w:t>
      </w:r>
    </w:p>
    <w:p w14:paraId="0611C5BA">
      <w:pPr>
        <w:snapToGrid w:val="0"/>
        <w:spacing w:line="520" w:lineRule="exact"/>
        <w:ind w:firstLine="560"/>
        <w:rPr>
          <w:color w:val="000000"/>
          <w:sz w:val="24"/>
        </w:rPr>
      </w:pPr>
      <w:r>
        <w:rPr>
          <w:color w:val="000000"/>
          <w:sz w:val="24"/>
        </w:rPr>
        <w:t>借助北京大学和鹏城实验室联合开发的主观实验软件平台，本次实验采用线下主观实验方式，测试志愿者在严格控制的环境中进行主观实验。</w:t>
      </w:r>
    </w:p>
    <w:p w14:paraId="72DB27CA">
      <w:pPr>
        <w:snapToGrid w:val="0"/>
        <w:spacing w:line="520" w:lineRule="exact"/>
        <w:ind w:firstLine="560"/>
        <w:rPr>
          <w:color w:val="000000"/>
          <w:sz w:val="24"/>
        </w:rPr>
      </w:pPr>
      <w:r>
        <w:rPr>
          <w:color w:val="000000"/>
          <w:sz w:val="24"/>
        </w:rPr>
        <w:t>VR显示设备采用Oculus Quest2，双眼分辨率为3664*1920，软件运行依赖Unity 2021.3.21f1c1版本。主观实验在室内，正常光照条件下进行。系统设定包括：</w:t>
      </w:r>
    </w:p>
    <w:p w14:paraId="5C926B90">
      <w:pPr>
        <w:snapToGrid w:val="0"/>
        <w:spacing w:line="520" w:lineRule="exact"/>
        <w:ind w:firstLine="560"/>
        <w:rPr>
          <w:color w:val="000000"/>
          <w:sz w:val="24"/>
        </w:rPr>
      </w:pPr>
      <w:r>
        <w:rPr>
          <w:color w:val="000000"/>
          <w:sz w:val="24"/>
        </w:rPr>
        <w:t>1）测试环境宜为实验室环境（可参考ITU-R BT.500的要求）。</w:t>
      </w:r>
    </w:p>
    <w:p w14:paraId="783564D3">
      <w:pPr>
        <w:snapToGrid w:val="0"/>
        <w:spacing w:line="520" w:lineRule="exact"/>
        <w:ind w:firstLine="560"/>
        <w:rPr>
          <w:color w:val="000000"/>
          <w:sz w:val="24"/>
        </w:rPr>
      </w:pPr>
      <w:r>
        <w:rPr>
          <w:color w:val="000000"/>
          <w:sz w:val="24"/>
        </w:rPr>
        <w:t>2）实验室面积宜大于4米 x 4米，空旷无障碍物。</w:t>
      </w:r>
    </w:p>
    <w:p w14:paraId="7C553764">
      <w:pPr>
        <w:snapToGrid w:val="0"/>
        <w:spacing w:line="520" w:lineRule="exact"/>
        <w:ind w:firstLine="560"/>
        <w:rPr>
          <w:color w:val="000000"/>
          <w:sz w:val="24"/>
        </w:rPr>
      </w:pPr>
      <w:r>
        <w:rPr>
          <w:color w:val="000000"/>
          <w:sz w:val="24"/>
        </w:rPr>
        <w:t>3）虚拟背景尽可能自然，避免使用黑色背景。</w:t>
      </w:r>
    </w:p>
    <w:p w14:paraId="7E850331">
      <w:pPr>
        <w:snapToGrid w:val="0"/>
        <w:spacing w:line="520" w:lineRule="exact"/>
        <w:ind w:firstLine="560"/>
        <w:rPr>
          <w:color w:val="000000"/>
          <w:sz w:val="24"/>
        </w:rPr>
      </w:pPr>
      <w:r>
        <w:rPr>
          <w:color w:val="000000"/>
          <w:sz w:val="24"/>
        </w:rPr>
        <w:t>在正式实验开始前，通过训练点云对主观实验受试者进行预训练，使主观实验受试者了解失真程度、评分规则以及主观实验软件平台的操作方法:</w:t>
      </w:r>
    </w:p>
    <w:p w14:paraId="4FD8603E">
      <w:pPr>
        <w:snapToGrid w:val="0"/>
        <w:spacing w:line="520" w:lineRule="exact"/>
        <w:ind w:firstLine="560"/>
        <w:rPr>
          <w:color w:val="000000"/>
          <w:sz w:val="24"/>
        </w:rPr>
      </w:pPr>
      <w:r>
        <w:rPr>
          <w:color w:val="000000"/>
          <w:sz w:val="24"/>
        </w:rPr>
        <w:t>1)</w:t>
      </w:r>
      <w:r>
        <w:rPr>
          <w:color w:val="000000"/>
          <w:sz w:val="24"/>
        </w:rPr>
        <w:tab/>
      </w:r>
      <w:r>
        <w:rPr>
          <w:color w:val="000000"/>
          <w:sz w:val="24"/>
        </w:rPr>
        <w:t>实验主持者向受试者介绍主观实验目的、整体流程和相关软件的操作方式等；</w:t>
      </w:r>
    </w:p>
    <w:p w14:paraId="3AF10483">
      <w:pPr>
        <w:snapToGrid w:val="0"/>
        <w:spacing w:line="520" w:lineRule="exact"/>
        <w:ind w:firstLine="560"/>
        <w:rPr>
          <w:color w:val="000000"/>
          <w:sz w:val="24"/>
        </w:rPr>
      </w:pPr>
      <w:r>
        <w:rPr>
          <w:color w:val="000000"/>
          <w:sz w:val="24"/>
        </w:rPr>
        <w:t>2)</w:t>
      </w:r>
      <w:r>
        <w:rPr>
          <w:color w:val="000000"/>
          <w:sz w:val="24"/>
        </w:rPr>
        <w:tab/>
      </w:r>
      <w:r>
        <w:rPr>
          <w:color w:val="000000"/>
          <w:sz w:val="24"/>
        </w:rPr>
        <w:t>展示不同失真水平的训练点云，受试者对训练点云进行打分，训练阶段选用的点云不能是正式主观实验评估中的点云。</w:t>
      </w:r>
    </w:p>
    <w:p w14:paraId="5AB41E03">
      <w:pPr>
        <w:snapToGrid w:val="0"/>
        <w:spacing w:line="520" w:lineRule="exact"/>
        <w:ind w:firstLine="560"/>
        <w:rPr>
          <w:color w:val="000000"/>
          <w:sz w:val="24"/>
        </w:rPr>
      </w:pPr>
      <w:r>
        <w:rPr>
          <w:color w:val="000000"/>
          <w:sz w:val="24"/>
        </w:rPr>
        <w:t>3)</w:t>
      </w:r>
      <w:r>
        <w:rPr>
          <w:color w:val="000000"/>
          <w:sz w:val="24"/>
        </w:rPr>
        <w:tab/>
      </w:r>
      <w:r>
        <w:rPr>
          <w:color w:val="000000"/>
          <w:sz w:val="24"/>
        </w:rPr>
        <w:t>有经验的主持者判断受试者评分是否在可接受范围内，如果受试者评分与主持者经验评分差距过大，使受试者对训练视频重新评分，直到受试者评分满足要求。</w:t>
      </w:r>
    </w:p>
    <w:p w14:paraId="66614F85">
      <w:pPr>
        <w:snapToGrid w:val="0"/>
        <w:spacing w:line="520" w:lineRule="exact"/>
        <w:ind w:firstLine="560"/>
        <w:rPr>
          <w:color w:val="000000"/>
          <w:sz w:val="24"/>
        </w:rPr>
      </w:pPr>
      <w:r>
        <w:rPr>
          <w:color w:val="000000"/>
          <w:sz w:val="24"/>
        </w:rPr>
        <w:t>具体观看方式如下：</w:t>
      </w:r>
    </w:p>
    <w:p w14:paraId="3E347BD5">
      <w:pPr>
        <w:snapToGrid w:val="0"/>
        <w:spacing w:line="520" w:lineRule="exact"/>
        <w:ind w:firstLine="560"/>
        <w:rPr>
          <w:color w:val="000000"/>
          <w:sz w:val="24"/>
        </w:rPr>
      </w:pPr>
      <w:r>
        <w:rPr>
          <w:color w:val="000000"/>
          <w:sz w:val="24"/>
        </w:rPr>
        <w:t>1</w:t>
      </w:r>
      <w:r>
        <w:rPr>
          <w:rFonts w:hint="eastAsia"/>
          <w:color w:val="000000"/>
          <w:sz w:val="24"/>
        </w:rPr>
        <w:t>) 参</w:t>
      </w:r>
      <w:r>
        <w:rPr>
          <w:color w:val="000000"/>
          <w:sz w:val="24"/>
        </w:rPr>
        <w:t>考点云和失真点云宜同时渲染在虚拟场景中。</w:t>
      </w:r>
    </w:p>
    <w:p w14:paraId="7E7F5E09">
      <w:pPr>
        <w:snapToGrid w:val="0"/>
        <w:spacing w:line="520" w:lineRule="exact"/>
        <w:ind w:firstLine="560"/>
        <w:rPr>
          <w:color w:val="000000"/>
          <w:sz w:val="24"/>
        </w:rPr>
      </w:pPr>
      <w:r>
        <w:rPr>
          <w:color w:val="000000"/>
          <w:sz w:val="24"/>
        </w:rPr>
        <w:t>2</w:t>
      </w:r>
      <w:r>
        <w:rPr>
          <w:rFonts w:hint="eastAsia"/>
          <w:color w:val="000000"/>
          <w:sz w:val="24"/>
        </w:rPr>
        <w:t xml:space="preserve">) </w:t>
      </w:r>
      <w:r>
        <w:rPr>
          <w:color w:val="000000"/>
          <w:sz w:val="24"/>
        </w:rPr>
        <w:t>受试者以6自由度查看参考点云和失真点云。</w:t>
      </w:r>
    </w:p>
    <w:p w14:paraId="7747804B">
      <w:pPr>
        <w:snapToGrid w:val="0"/>
        <w:spacing w:line="520" w:lineRule="exact"/>
        <w:ind w:firstLine="560"/>
        <w:rPr>
          <w:color w:val="000000"/>
          <w:sz w:val="24"/>
        </w:rPr>
      </w:pPr>
      <w:r>
        <w:rPr>
          <w:color w:val="000000"/>
          <w:sz w:val="24"/>
        </w:rPr>
        <w:t>3</w:t>
      </w:r>
      <w:r>
        <w:rPr>
          <w:rFonts w:hint="eastAsia"/>
          <w:color w:val="000000"/>
          <w:sz w:val="24"/>
        </w:rPr>
        <w:t xml:space="preserve">) </w:t>
      </w:r>
      <w:r>
        <w:rPr>
          <w:color w:val="000000"/>
          <w:sz w:val="24"/>
        </w:rPr>
        <w:t>受试者通过手柄自由旋转点云样本。</w:t>
      </w:r>
    </w:p>
    <w:p w14:paraId="0D11B536">
      <w:pPr>
        <w:snapToGrid w:val="0"/>
        <w:spacing w:line="520" w:lineRule="exact"/>
        <w:ind w:firstLine="560"/>
        <w:rPr>
          <w:color w:val="000000"/>
          <w:sz w:val="24"/>
        </w:rPr>
      </w:pPr>
      <w:r>
        <w:rPr>
          <w:color w:val="000000"/>
          <w:sz w:val="24"/>
        </w:rPr>
        <w:t>4</w:t>
      </w:r>
      <w:r>
        <w:rPr>
          <w:rFonts w:hint="eastAsia"/>
          <w:color w:val="000000"/>
          <w:sz w:val="24"/>
        </w:rPr>
        <w:t xml:space="preserve">) </w:t>
      </w:r>
      <w:r>
        <w:rPr>
          <w:color w:val="000000"/>
          <w:sz w:val="24"/>
        </w:rPr>
        <w:t>观看时间不限，但不支持回放。</w:t>
      </w:r>
    </w:p>
    <w:p w14:paraId="7B6184BF">
      <w:pPr>
        <w:snapToGrid w:val="0"/>
        <w:spacing w:line="520" w:lineRule="exact"/>
        <w:ind w:firstLine="560"/>
        <w:rPr>
          <w:color w:val="000000"/>
          <w:sz w:val="24"/>
        </w:rPr>
      </w:pPr>
      <w:r>
        <w:rPr>
          <w:color w:val="000000"/>
          <w:sz w:val="24"/>
        </w:rPr>
        <w:t>5</w:t>
      </w:r>
      <w:r>
        <w:rPr>
          <w:rFonts w:hint="eastAsia"/>
          <w:color w:val="000000"/>
          <w:sz w:val="24"/>
        </w:rPr>
        <w:t xml:space="preserve">) </w:t>
      </w:r>
      <w:r>
        <w:rPr>
          <w:color w:val="000000"/>
          <w:sz w:val="24"/>
        </w:rPr>
        <w:t>受试者根据参考点云的质量来对失真点云的质量进行打分。</w:t>
      </w:r>
    </w:p>
    <w:p w14:paraId="7CB35C8F">
      <w:pPr>
        <w:spacing w:line="360" w:lineRule="auto"/>
        <w:ind w:firstLine="420"/>
        <w:rPr>
          <w:color w:val="000000"/>
          <w:sz w:val="24"/>
        </w:rPr>
      </w:pPr>
      <w:r>
        <w:rPr>
          <w:color w:val="000000"/>
          <w:sz w:val="24"/>
        </w:rPr>
        <w:t>本次主观实验采取常用的5档损伤程度打分，即（"5分: 无差异”, "4分: 有差异但不让人反感”, "3分: 有差异轻微让人反感”, "2分: 有差异且让人反感”, "1分: 有差异且让人很反感”）。</w:t>
      </w:r>
    </w:p>
    <w:p w14:paraId="5AAA2628">
      <w:pPr>
        <w:snapToGrid w:val="0"/>
        <w:spacing w:line="520" w:lineRule="exact"/>
        <w:ind w:firstLine="560"/>
        <w:rPr>
          <w:color w:val="000000"/>
          <w:sz w:val="24"/>
          <w:lang w:eastAsia="zh-TW"/>
        </w:rPr>
      </w:pPr>
      <w:r>
        <w:rPr>
          <w:color w:val="000000"/>
          <w:sz w:val="24"/>
          <w:lang w:eastAsia="zh-TW"/>
        </w:rPr>
        <w:t>本次试验共有42人次参与，其中19人来自北京大学深圳研究生院和鹏城实验室，23人来自武汉大学和上海交通大学，实验中使用两种方法共同筛选离异值。Trapping样本筛选：每个测试序列中后缀名为r5-aqp-8（质量最高）和r1-aqp-48（质量最低）两个样本，以上两个样本要求出现两次（即trapping样本一共为6个），且不连续出现，要求测试者对以上两个样本的打分分叉小于等于1分为可靠评分。BT500建议的离异值筛选：用β2测试（通过计算函数的峰态系数，即四阶动差与二阶动差平方的比值）确定受试者的评分分布正常与否。两种筛选方法中任意一个检测到受试者的评分异常，即将该受试者的所有评分判定为离异值，从主观实验结果中排除。经筛查，共有3人的数据被判定为离异值，对应的数据被剔除。</w:t>
      </w:r>
    </w:p>
    <w:p w14:paraId="4C86C23E">
      <w:pPr>
        <w:snapToGrid w:val="0"/>
        <w:spacing w:line="520" w:lineRule="exact"/>
        <w:ind w:firstLine="560"/>
        <w:rPr>
          <w:color w:val="000000"/>
          <w:sz w:val="24"/>
          <w:lang w:eastAsia="zh-TW"/>
        </w:rPr>
      </w:pPr>
      <w:r>
        <w:rPr>
          <w:color w:val="000000"/>
          <w:sz w:val="24"/>
          <w:lang w:eastAsia="zh-TW"/>
        </w:rPr>
        <w:fldChar w:fldCharType="begin"/>
      </w:r>
      <w:r>
        <w:rPr>
          <w:color w:val="000000"/>
          <w:sz w:val="24"/>
          <w:lang w:eastAsia="zh-TW"/>
        </w:rPr>
        <w:instrText xml:space="preserve"> REF _Ref213771910 \r \h </w:instrText>
      </w:r>
      <w:r>
        <w:rPr>
          <w:color w:val="000000"/>
          <w:sz w:val="24"/>
          <w:lang w:eastAsia="zh-TW"/>
        </w:rPr>
        <w:fldChar w:fldCharType="separate"/>
      </w:r>
      <w:r>
        <w:rPr>
          <w:rFonts w:hint="eastAsia"/>
          <w:color w:val="000000"/>
          <w:sz w:val="24"/>
          <w:lang w:eastAsia="zh-TW"/>
        </w:rPr>
        <w:t>图8</w:t>
      </w:r>
      <w:r>
        <w:rPr>
          <w:color w:val="000000"/>
          <w:sz w:val="24"/>
          <w:lang w:eastAsia="zh-TW"/>
        </w:rPr>
        <w:fldChar w:fldCharType="end"/>
      </w:r>
      <w:r>
        <w:rPr>
          <w:color w:val="000000"/>
          <w:sz w:val="24"/>
          <w:lang w:eastAsia="zh-TW"/>
        </w:rPr>
        <w:t>给出了原始打分数据，每一行代表一个受试者对所有视频的打分，每一列代表所有受试者对某一个视频的打分结果。受试者1-19来自北京大学和鹏城实验室，20-42来自武汉大学和上海交通大学。</w:t>
      </w:r>
    </w:p>
    <w:p w14:paraId="0A15D6C6">
      <w:pPr>
        <w:snapToGrid w:val="0"/>
        <w:spacing w:line="520" w:lineRule="exact"/>
        <w:ind w:firstLine="560"/>
        <w:rPr>
          <w:color w:val="000000"/>
          <w:sz w:val="24"/>
        </w:rPr>
      </w:pPr>
      <w:r>
        <w:rPr>
          <w:rFonts w:eastAsia="PMingLiU"/>
          <w:sz w:val="24"/>
          <w:lang w:val="zh-TW" w:eastAsia="zh-TW"/>
        </w:rPr>
        <w:drawing>
          <wp:anchor distT="0" distB="0" distL="114300" distR="114300" simplePos="0" relativeHeight="251659264" behindDoc="0" locked="0" layoutInCell="1" allowOverlap="1">
            <wp:simplePos x="0" y="0"/>
            <wp:positionH relativeFrom="column">
              <wp:posOffset>0</wp:posOffset>
            </wp:positionH>
            <wp:positionV relativeFrom="paragraph">
              <wp:posOffset>1652905</wp:posOffset>
            </wp:positionV>
            <wp:extent cx="5274310" cy="3599815"/>
            <wp:effectExtent l="0" t="0" r="0" b="0"/>
            <wp:wrapTopAndBottom/>
            <wp:docPr id="8262377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37745" name="图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000" cy="3600000"/>
                    </a:xfrm>
                    <a:prstGeom prst="rect">
                      <a:avLst/>
                    </a:prstGeom>
                    <a:noFill/>
                    <a:ln>
                      <a:noFill/>
                    </a:ln>
                  </pic:spPr>
                </pic:pic>
              </a:graphicData>
            </a:graphic>
          </wp:anchor>
        </w:drawing>
      </w:r>
      <w:r>
        <w:rPr>
          <w:color w:val="000000"/>
          <w:sz w:val="24"/>
          <w:lang w:eastAsia="zh-TW"/>
        </w:rPr>
        <w:t>从左往右，每12个数据为一个点云的不同码率，从左到右分别为censer_vox12，jaguar_vox10，model_vox11。每个点云的码率排列顺序与表二对应为：r1-aqp8, r1-aqp48, r1-aqp48, r1.5-aqp8, r1.5-aqp40, r2-aqp8, r2-aqp32, r5-aqp8, r5-aqp8, r5-apq32, r5-aqp40, r5-aqp48。</w:t>
      </w:r>
    </w:p>
    <w:p w14:paraId="58650422">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bookmarkStart w:id="12" w:name="_Ref213771910"/>
      <w:r>
        <w:rPr>
          <w:rFonts w:ascii="Times New Roman" w:hAnsi="Times New Roman" w:eastAsia="黑体" w:cs="Times New Roman"/>
          <w:color w:val="000000"/>
          <w:sz w:val="21"/>
          <w:szCs w:val="21"/>
        </w:rPr>
        <w:t>原始打分数据</w:t>
      </w:r>
      <w:bookmarkEnd w:id="12"/>
      <w:r>
        <w:rPr>
          <w:rFonts w:ascii="Times New Roman" w:hAnsi="Times New Roman" w:eastAsia="黑体" w:cs="Times New Roman"/>
          <w:color w:val="000000"/>
          <w:sz w:val="21"/>
          <w:szCs w:val="21"/>
        </w:rPr>
        <w:t xml:space="preserve"> </w:t>
      </w:r>
    </w:p>
    <w:p w14:paraId="66911697">
      <w:pPr>
        <w:ind w:firstLine="360"/>
        <w:rPr>
          <w:sz w:val="24"/>
        </w:rPr>
      </w:pPr>
    </w:p>
    <w:p w14:paraId="2C87A7CF">
      <w:pPr>
        <w:spacing w:line="360" w:lineRule="auto"/>
        <w:ind w:firstLine="357"/>
        <w:rPr>
          <w:color w:val="000000"/>
          <w:sz w:val="24"/>
          <w:lang w:eastAsia="zh-TW"/>
        </w:rPr>
      </w:pPr>
      <w:r>
        <w:rPr>
          <w:color w:val="000000"/>
          <w:sz w:val="24"/>
          <w:lang w:eastAsia="zh-TW"/>
        </w:rPr>
        <w:t>经数据清理，共有39人的数据被判定合格。对于重复点云样本，我们取主观分数的均值作为最终的主观分数（MOS），数据清理后对应的打分结果如下图所示，受试者1-18来自上北京大学和鹏城实验室，19-39来自武汉大学和上海交通大学。</w:t>
      </w:r>
    </w:p>
    <w:p w14:paraId="5D6BB4E7">
      <w:pPr>
        <w:ind w:firstLine="360"/>
        <w:rPr>
          <w:color w:val="000000"/>
          <w:sz w:val="24"/>
          <w:lang w:eastAsia="zh-TW"/>
        </w:rPr>
      </w:pPr>
      <w:r>
        <w:rPr>
          <w:color w:val="000000"/>
          <w:sz w:val="24"/>
          <w:lang w:eastAsia="zh-TW"/>
        </w:rPr>
        <w:t>将各家单位排除离异值后的分数进行相关度计算如下表：</w:t>
      </w:r>
    </w:p>
    <w:p w14:paraId="0807EE31">
      <w:pPr>
        <w:pStyle w:val="33"/>
        <w:numPr>
          <w:ilvl w:val="0"/>
          <w:numId w:val="5"/>
        </w:numPr>
        <w:spacing w:before="60" w:beforeAutospacing="0" w:after="60" w:afterAutospacing="0" w:line="20" w:lineRule="atLeast"/>
        <w:jc w:val="center"/>
        <w:rPr>
          <w:rFonts w:ascii="Times New Roman" w:hAnsi="Times New Roman" w:cs="Times New Roman"/>
          <w:color w:val="000000"/>
          <w:sz w:val="21"/>
          <w:szCs w:val="21"/>
        </w:rPr>
      </w:pPr>
      <w:r>
        <w:rPr>
          <w:rFonts w:ascii="Times New Roman" w:hAnsi="Times New Roman" w:cs="Times New Roman"/>
          <w:color w:val="000000"/>
          <w:sz w:val="21"/>
          <w:szCs w:val="21"/>
        </w:rPr>
        <w:t>各单位主观实验结果相关度计算</w:t>
      </w:r>
    </w:p>
    <w:tbl>
      <w:tblPr>
        <w:tblStyle w:val="12"/>
        <w:tblW w:w="6300" w:type="dxa"/>
        <w:jc w:val="center"/>
        <w:tblLayout w:type="autofit"/>
        <w:tblCellMar>
          <w:top w:w="0" w:type="dxa"/>
          <w:left w:w="108" w:type="dxa"/>
          <w:bottom w:w="0" w:type="dxa"/>
          <w:right w:w="108" w:type="dxa"/>
        </w:tblCellMar>
      </w:tblPr>
      <w:tblGrid>
        <w:gridCol w:w="2357"/>
        <w:gridCol w:w="1080"/>
        <w:gridCol w:w="1080"/>
        <w:gridCol w:w="1080"/>
        <w:gridCol w:w="1080"/>
      </w:tblGrid>
      <w:tr w14:paraId="60DFC430">
        <w:tblPrEx>
          <w:tblCellMar>
            <w:top w:w="0" w:type="dxa"/>
            <w:left w:w="108" w:type="dxa"/>
            <w:bottom w:w="0" w:type="dxa"/>
            <w:right w:w="108" w:type="dxa"/>
          </w:tblCellMar>
        </w:tblPrEx>
        <w:trPr>
          <w:trHeight w:val="270" w:hRule="atLeast"/>
          <w:jc w:val="center"/>
        </w:trPr>
        <w:tc>
          <w:tcPr>
            <w:tcW w:w="1980" w:type="dxa"/>
            <w:tcBorders>
              <w:top w:val="single" w:color="auto" w:sz="4" w:space="0"/>
              <w:left w:val="single" w:color="auto" w:sz="4" w:space="0"/>
              <w:bottom w:val="single" w:color="auto" w:sz="4" w:space="0"/>
              <w:right w:val="single" w:color="auto" w:sz="4" w:space="0"/>
            </w:tcBorders>
            <w:noWrap/>
            <w:vAlign w:val="center"/>
          </w:tcPr>
          <w:p w14:paraId="33499356">
            <w:pPr>
              <w:widowControl/>
              <w:jc w:val="center"/>
              <w:rPr>
                <w:color w:val="000000"/>
                <w:kern w:val="0"/>
                <w:sz w:val="22"/>
              </w:rPr>
            </w:pPr>
            <w:r>
              <w:rPr>
                <w:color w:val="000000"/>
                <w:kern w:val="0"/>
                <w:sz w:val="22"/>
              </w:rPr>
              <w:t>　</w:t>
            </w:r>
          </w:p>
        </w:tc>
        <w:tc>
          <w:tcPr>
            <w:tcW w:w="1080" w:type="dxa"/>
            <w:tcBorders>
              <w:top w:val="single" w:color="auto" w:sz="4" w:space="0"/>
              <w:left w:val="nil"/>
              <w:bottom w:val="single" w:color="auto" w:sz="4" w:space="0"/>
              <w:right w:val="single" w:color="auto" w:sz="4" w:space="0"/>
            </w:tcBorders>
            <w:noWrap/>
            <w:vAlign w:val="center"/>
          </w:tcPr>
          <w:p w14:paraId="28A6134D">
            <w:pPr>
              <w:widowControl/>
              <w:jc w:val="center"/>
              <w:rPr>
                <w:color w:val="000000"/>
                <w:kern w:val="0"/>
                <w:sz w:val="22"/>
              </w:rPr>
            </w:pPr>
            <w:r>
              <w:rPr>
                <w:color w:val="000000"/>
                <w:kern w:val="0"/>
                <w:sz w:val="22"/>
              </w:rPr>
              <w:t>PLCC</w:t>
            </w:r>
          </w:p>
        </w:tc>
        <w:tc>
          <w:tcPr>
            <w:tcW w:w="1080" w:type="dxa"/>
            <w:tcBorders>
              <w:top w:val="single" w:color="auto" w:sz="4" w:space="0"/>
              <w:left w:val="nil"/>
              <w:bottom w:val="single" w:color="auto" w:sz="4" w:space="0"/>
              <w:right w:val="single" w:color="auto" w:sz="4" w:space="0"/>
            </w:tcBorders>
            <w:noWrap/>
            <w:vAlign w:val="center"/>
          </w:tcPr>
          <w:p w14:paraId="063F2846">
            <w:pPr>
              <w:widowControl/>
              <w:jc w:val="center"/>
              <w:rPr>
                <w:color w:val="000000"/>
                <w:kern w:val="0"/>
                <w:sz w:val="22"/>
              </w:rPr>
            </w:pPr>
            <w:r>
              <w:rPr>
                <w:color w:val="000000"/>
                <w:kern w:val="0"/>
                <w:sz w:val="22"/>
              </w:rPr>
              <w:t>SROCC</w:t>
            </w:r>
          </w:p>
        </w:tc>
        <w:tc>
          <w:tcPr>
            <w:tcW w:w="1080" w:type="dxa"/>
            <w:tcBorders>
              <w:top w:val="single" w:color="auto" w:sz="4" w:space="0"/>
              <w:left w:val="nil"/>
              <w:bottom w:val="single" w:color="auto" w:sz="4" w:space="0"/>
              <w:right w:val="single" w:color="auto" w:sz="4" w:space="0"/>
            </w:tcBorders>
            <w:noWrap/>
            <w:vAlign w:val="center"/>
          </w:tcPr>
          <w:p w14:paraId="3FF8BADB">
            <w:pPr>
              <w:widowControl/>
              <w:jc w:val="center"/>
              <w:rPr>
                <w:color w:val="000000"/>
                <w:kern w:val="0"/>
                <w:sz w:val="22"/>
              </w:rPr>
            </w:pPr>
            <w:r>
              <w:rPr>
                <w:color w:val="000000"/>
                <w:kern w:val="0"/>
                <w:sz w:val="22"/>
              </w:rPr>
              <w:t>KROCC</w:t>
            </w:r>
          </w:p>
        </w:tc>
        <w:tc>
          <w:tcPr>
            <w:tcW w:w="1080" w:type="dxa"/>
            <w:tcBorders>
              <w:top w:val="single" w:color="auto" w:sz="4" w:space="0"/>
              <w:left w:val="nil"/>
              <w:bottom w:val="single" w:color="auto" w:sz="4" w:space="0"/>
              <w:right w:val="single" w:color="auto" w:sz="4" w:space="0"/>
            </w:tcBorders>
            <w:noWrap/>
            <w:vAlign w:val="center"/>
          </w:tcPr>
          <w:p w14:paraId="44252A97">
            <w:pPr>
              <w:widowControl/>
              <w:jc w:val="center"/>
              <w:rPr>
                <w:color w:val="000000"/>
                <w:kern w:val="0"/>
                <w:sz w:val="22"/>
              </w:rPr>
            </w:pPr>
            <w:r>
              <w:rPr>
                <w:color w:val="000000"/>
                <w:kern w:val="0"/>
                <w:sz w:val="22"/>
              </w:rPr>
              <w:t>RMSE</w:t>
            </w:r>
          </w:p>
        </w:tc>
      </w:tr>
      <w:tr w14:paraId="5F922513">
        <w:tblPrEx>
          <w:tblCellMar>
            <w:top w:w="0" w:type="dxa"/>
            <w:left w:w="108" w:type="dxa"/>
            <w:bottom w:w="0" w:type="dxa"/>
            <w:right w:w="108" w:type="dxa"/>
          </w:tblCellMar>
        </w:tblPrEx>
        <w:trPr>
          <w:trHeight w:val="270" w:hRule="atLeast"/>
          <w:jc w:val="center"/>
        </w:trPr>
        <w:tc>
          <w:tcPr>
            <w:tcW w:w="1980" w:type="dxa"/>
            <w:tcBorders>
              <w:top w:val="nil"/>
              <w:left w:val="single" w:color="auto" w:sz="4" w:space="0"/>
              <w:bottom w:val="single" w:color="auto" w:sz="4" w:space="0"/>
              <w:right w:val="single" w:color="auto" w:sz="4" w:space="0"/>
            </w:tcBorders>
            <w:noWrap/>
            <w:vAlign w:val="center"/>
          </w:tcPr>
          <w:p w14:paraId="03763D68">
            <w:pPr>
              <w:widowControl/>
              <w:jc w:val="center"/>
              <w:rPr>
                <w:color w:val="000000"/>
                <w:kern w:val="0"/>
                <w:sz w:val="22"/>
              </w:rPr>
            </w:pPr>
            <w:r>
              <w:rPr>
                <w:color w:val="000000"/>
                <w:kern w:val="0"/>
                <w:sz w:val="22"/>
              </w:rPr>
              <w:t>PKU-PCL+SJTU-WHU</w:t>
            </w:r>
          </w:p>
        </w:tc>
        <w:tc>
          <w:tcPr>
            <w:tcW w:w="1080" w:type="dxa"/>
            <w:tcBorders>
              <w:top w:val="nil"/>
              <w:left w:val="nil"/>
              <w:bottom w:val="single" w:color="auto" w:sz="4" w:space="0"/>
              <w:right w:val="single" w:color="auto" w:sz="4" w:space="0"/>
            </w:tcBorders>
            <w:noWrap/>
            <w:vAlign w:val="center"/>
          </w:tcPr>
          <w:p w14:paraId="6A1E7BB2">
            <w:pPr>
              <w:widowControl/>
              <w:jc w:val="center"/>
              <w:rPr>
                <w:color w:val="000000"/>
                <w:kern w:val="0"/>
                <w:sz w:val="22"/>
              </w:rPr>
            </w:pPr>
            <w:r>
              <w:rPr>
                <w:color w:val="000000"/>
                <w:kern w:val="0"/>
                <w:sz w:val="22"/>
              </w:rPr>
              <w:t>0.9879</w:t>
            </w:r>
          </w:p>
        </w:tc>
        <w:tc>
          <w:tcPr>
            <w:tcW w:w="1080" w:type="dxa"/>
            <w:tcBorders>
              <w:top w:val="nil"/>
              <w:left w:val="nil"/>
              <w:bottom w:val="single" w:color="auto" w:sz="4" w:space="0"/>
              <w:right w:val="single" w:color="auto" w:sz="4" w:space="0"/>
            </w:tcBorders>
            <w:noWrap/>
            <w:vAlign w:val="center"/>
          </w:tcPr>
          <w:p w14:paraId="2E7C4F5B">
            <w:pPr>
              <w:widowControl/>
              <w:jc w:val="center"/>
              <w:rPr>
                <w:color w:val="000000"/>
                <w:kern w:val="0"/>
                <w:sz w:val="22"/>
              </w:rPr>
            </w:pPr>
            <w:r>
              <w:rPr>
                <w:color w:val="000000"/>
                <w:kern w:val="0"/>
                <w:sz w:val="22"/>
              </w:rPr>
              <w:t>0.9715</w:t>
            </w:r>
          </w:p>
        </w:tc>
        <w:tc>
          <w:tcPr>
            <w:tcW w:w="1080" w:type="dxa"/>
            <w:tcBorders>
              <w:top w:val="nil"/>
              <w:left w:val="nil"/>
              <w:bottom w:val="single" w:color="auto" w:sz="4" w:space="0"/>
              <w:right w:val="single" w:color="auto" w:sz="4" w:space="0"/>
            </w:tcBorders>
            <w:noWrap/>
            <w:vAlign w:val="center"/>
          </w:tcPr>
          <w:p w14:paraId="71FD1AEA">
            <w:pPr>
              <w:widowControl/>
              <w:jc w:val="center"/>
              <w:rPr>
                <w:color w:val="000000"/>
                <w:kern w:val="0"/>
                <w:sz w:val="22"/>
              </w:rPr>
            </w:pPr>
            <w:r>
              <w:rPr>
                <w:color w:val="000000"/>
                <w:kern w:val="0"/>
                <w:sz w:val="22"/>
              </w:rPr>
              <w:t>0.8791</w:t>
            </w:r>
          </w:p>
        </w:tc>
        <w:tc>
          <w:tcPr>
            <w:tcW w:w="1080" w:type="dxa"/>
            <w:tcBorders>
              <w:top w:val="nil"/>
              <w:left w:val="nil"/>
              <w:bottom w:val="single" w:color="auto" w:sz="4" w:space="0"/>
              <w:right w:val="single" w:color="auto" w:sz="4" w:space="0"/>
            </w:tcBorders>
            <w:noWrap/>
            <w:vAlign w:val="center"/>
          </w:tcPr>
          <w:p w14:paraId="15FE8071">
            <w:pPr>
              <w:widowControl/>
              <w:jc w:val="center"/>
              <w:rPr>
                <w:color w:val="000000"/>
                <w:kern w:val="0"/>
                <w:sz w:val="22"/>
              </w:rPr>
            </w:pPr>
            <w:r>
              <w:rPr>
                <w:color w:val="000000"/>
                <w:kern w:val="0"/>
                <w:sz w:val="22"/>
              </w:rPr>
              <w:t>0.2134</w:t>
            </w:r>
          </w:p>
        </w:tc>
      </w:tr>
    </w:tbl>
    <w:p w14:paraId="04A52252"/>
    <w:p w14:paraId="79AF3A14">
      <w:pPr>
        <w:ind w:firstLine="360"/>
        <w:rPr>
          <w:color w:val="000000"/>
          <w:sz w:val="24"/>
          <w:lang w:eastAsia="zh-TW"/>
        </w:rPr>
      </w:pPr>
      <w:r>
        <w:rPr>
          <w:rFonts w:eastAsia="PMingLiU"/>
          <w:lang w:val="zh-TW" w:eastAsia="zh-TW"/>
        </w:rPr>
        <w:drawing>
          <wp:anchor distT="0" distB="0" distL="114300" distR="114300" simplePos="0" relativeHeight="251662336" behindDoc="0" locked="0" layoutInCell="1" allowOverlap="1">
            <wp:simplePos x="0" y="0"/>
            <wp:positionH relativeFrom="column">
              <wp:posOffset>1372870</wp:posOffset>
            </wp:positionH>
            <wp:positionV relativeFrom="paragraph">
              <wp:posOffset>2112010</wp:posOffset>
            </wp:positionV>
            <wp:extent cx="2514600" cy="1510030"/>
            <wp:effectExtent l="0" t="0" r="0" b="1270"/>
            <wp:wrapTopAndBottom/>
            <wp:docPr id="1206400394" name="图片 7" descr="图表, 瀑布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00394" name="图片 7" descr="图表, 瀑布图&#10;&#10;AI 生成的内容可能不正确。"/>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0" cy="1510030"/>
                    </a:xfrm>
                    <a:prstGeom prst="rect">
                      <a:avLst/>
                    </a:prstGeom>
                  </pic:spPr>
                </pic:pic>
              </a:graphicData>
            </a:graphic>
          </wp:anchor>
        </w:drawing>
      </w:r>
      <w:r>
        <w:rPr>
          <w:rFonts w:eastAsia="PMingLiU"/>
          <w:lang w:val="zh-TW" w:eastAsia="zh-TW"/>
        </w:rPr>
        <w:drawing>
          <wp:anchor distT="0" distB="0" distL="114300" distR="114300" simplePos="0" relativeHeight="251660288" behindDoc="0" locked="0" layoutInCell="1" allowOverlap="1">
            <wp:simplePos x="0" y="0"/>
            <wp:positionH relativeFrom="column">
              <wp:posOffset>226060</wp:posOffset>
            </wp:positionH>
            <wp:positionV relativeFrom="paragraph">
              <wp:posOffset>641985</wp:posOffset>
            </wp:positionV>
            <wp:extent cx="2453005" cy="1471295"/>
            <wp:effectExtent l="0" t="0" r="0" b="1905"/>
            <wp:wrapTopAndBottom/>
            <wp:docPr id="1799540289" name="图片 5" descr="图表, 瀑布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40289" name="图片 5" descr="图表, 瀑布图&#10;&#10;AI 生成的内容可能不正确。"/>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3005" cy="1471295"/>
                    </a:xfrm>
                    <a:prstGeom prst="rect">
                      <a:avLst/>
                    </a:prstGeom>
                  </pic:spPr>
                </pic:pic>
              </a:graphicData>
            </a:graphic>
          </wp:anchor>
        </w:drawing>
      </w:r>
      <w:r>
        <w:rPr>
          <w:rFonts w:eastAsia="PMingLiU"/>
          <w:lang w:val="zh-TW" w:eastAsia="zh-TW"/>
        </w:rPr>
        <w:drawing>
          <wp:anchor distT="0" distB="0" distL="114300" distR="114300" simplePos="0" relativeHeight="251661312" behindDoc="0" locked="0" layoutInCell="1" allowOverlap="1">
            <wp:simplePos x="0" y="0"/>
            <wp:positionH relativeFrom="column">
              <wp:posOffset>2855595</wp:posOffset>
            </wp:positionH>
            <wp:positionV relativeFrom="paragraph">
              <wp:posOffset>643890</wp:posOffset>
            </wp:positionV>
            <wp:extent cx="2343785" cy="1406525"/>
            <wp:effectExtent l="0" t="0" r="5715" b="3175"/>
            <wp:wrapTopAndBottom/>
            <wp:docPr id="243721901" name="图片 6" descr="图表, 瀑布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21901" name="图片 6" descr="图表, 瀑布图&#10;&#10;AI 生成的内容可能不正确。"/>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3785" cy="1406525"/>
                    </a:xfrm>
                    <a:prstGeom prst="rect">
                      <a:avLst/>
                    </a:prstGeom>
                  </pic:spPr>
                </pic:pic>
              </a:graphicData>
            </a:graphic>
          </wp:anchor>
        </w:drawing>
      </w:r>
      <w:r>
        <w:rPr>
          <w:color w:val="000000"/>
          <w:sz w:val="24"/>
          <w:lang w:eastAsia="zh-TW"/>
        </w:rPr>
        <w:t>可以看出各单位得到的主观实验分数有很高的相关度，说明各单位结果均有效</w:t>
      </w:r>
      <w:r>
        <w:rPr>
          <w:color w:val="000000"/>
          <w:sz w:val="24"/>
        </w:rPr>
        <w:t>。</w:t>
      </w:r>
      <w:r>
        <w:rPr>
          <w:color w:val="000000"/>
          <w:sz w:val="24"/>
        </w:rPr>
        <w:fldChar w:fldCharType="begin"/>
      </w:r>
      <w:r>
        <w:rPr>
          <w:color w:val="000000"/>
          <w:sz w:val="24"/>
        </w:rPr>
        <w:instrText xml:space="preserve"> REF _Ref213771928 \r \h </w:instrText>
      </w:r>
      <w:r>
        <w:rPr>
          <w:color w:val="000000"/>
          <w:sz w:val="24"/>
        </w:rPr>
        <w:fldChar w:fldCharType="separate"/>
      </w:r>
      <w:r>
        <w:rPr>
          <w:rFonts w:hint="eastAsia"/>
          <w:color w:val="000000"/>
          <w:sz w:val="24"/>
        </w:rPr>
        <w:t>图9</w:t>
      </w:r>
      <w:r>
        <w:rPr>
          <w:color w:val="000000"/>
          <w:sz w:val="24"/>
        </w:rPr>
        <w:fldChar w:fldCharType="end"/>
      </w:r>
      <w:r>
        <w:rPr>
          <w:color w:val="000000"/>
          <w:sz w:val="24"/>
        </w:rPr>
        <w:t>给出了主观质量变化趋势与压缩QP的关系。通过数据可以看出主观MOS的分布和QP的变化具有一致性。</w:t>
      </w:r>
    </w:p>
    <w:p w14:paraId="17789A34">
      <w:pPr>
        <w:pStyle w:val="33"/>
        <w:numPr>
          <w:ilvl w:val="0"/>
          <w:numId w:val="4"/>
        </w:numPr>
        <w:spacing w:before="60" w:beforeAutospacing="0" w:after="60" w:afterAutospacing="0" w:line="20" w:lineRule="atLeast"/>
        <w:jc w:val="center"/>
        <w:rPr>
          <w:rFonts w:ascii="Times New Roman" w:hAnsi="Times New Roman" w:eastAsia="黑体" w:cs="Times New Roman"/>
          <w:color w:val="000000"/>
          <w:sz w:val="21"/>
          <w:szCs w:val="21"/>
        </w:rPr>
      </w:pPr>
      <w:bookmarkStart w:id="13" w:name="_Ref213771928"/>
      <w:r>
        <w:rPr>
          <w:rFonts w:ascii="Times New Roman" w:hAnsi="Times New Roman" w:eastAsia="黑体" w:cs="Times New Roman"/>
          <w:color w:val="000000"/>
          <w:sz w:val="21"/>
          <w:szCs w:val="21"/>
        </w:rPr>
        <w:t>点云主观质量与量化参数二维分布图</w:t>
      </w:r>
      <w:bookmarkEnd w:id="13"/>
    </w:p>
    <w:p w14:paraId="7AC258A3">
      <w:pPr>
        <w:snapToGrid w:val="0"/>
        <w:spacing w:line="520" w:lineRule="exact"/>
        <w:ind w:firstLine="560"/>
        <w:rPr>
          <w:color w:val="000000"/>
          <w:sz w:val="24"/>
          <w:lang w:eastAsia="zh-TW"/>
        </w:rPr>
      </w:pPr>
      <w:r>
        <w:rPr>
          <w:color w:val="000000"/>
          <w:sz w:val="24"/>
          <w:lang w:eastAsia="zh-TW"/>
        </w:rPr>
        <w:t>上数据表明，通过本</w:t>
      </w:r>
      <w:r>
        <w:rPr>
          <w:color w:val="000000"/>
          <w:sz w:val="24"/>
        </w:rPr>
        <w:t>方案</w:t>
      </w:r>
      <w:r>
        <w:rPr>
          <w:color w:val="000000"/>
          <w:sz w:val="24"/>
          <w:lang w:eastAsia="zh-TW"/>
        </w:rPr>
        <w:t>所提出的点云主观质量评测方法得到的数据具有较明显的统计特性。可以看出，样本整体的MOS分数与压缩程度呈现出明显的相关关系，随着压缩程度的不断增加，样本的MOS分数逐步降低。另外，VR主观实验结果也表明几何失真对于点云样本主观分数的影响明显大于属性失真。</w:t>
      </w:r>
    </w:p>
    <w:p w14:paraId="5557FFAE">
      <w:pPr>
        <w:spacing w:line="360" w:lineRule="auto"/>
        <w:ind w:firstLine="480" w:firstLineChars="200"/>
        <w:rPr>
          <w:color w:val="000000"/>
          <w:sz w:val="24"/>
        </w:rPr>
      </w:pPr>
      <w:r>
        <w:rPr>
          <w:color w:val="000000"/>
          <w:sz w:val="24"/>
        </w:rPr>
        <w:t>以上测试结果表明，本部分在技术和性能上处于国际先进水平。</w:t>
      </w:r>
    </w:p>
    <w:p w14:paraId="225717FF">
      <w:pPr>
        <w:pStyle w:val="24"/>
        <w:spacing w:line="360" w:lineRule="auto"/>
        <w:ind w:firstLine="482"/>
        <w:rPr>
          <w:rFonts w:ascii="Times New Roman"/>
          <w:b/>
          <w:color w:val="000000"/>
          <w:sz w:val="24"/>
          <w:szCs w:val="24"/>
        </w:rPr>
      </w:pPr>
      <w:r>
        <w:rPr>
          <w:rFonts w:ascii="Times New Roman"/>
          <w:b/>
          <w:color w:val="000000"/>
          <w:sz w:val="24"/>
          <w:szCs w:val="24"/>
        </w:rPr>
        <w:t>四、知识产权情况说明</w:t>
      </w:r>
    </w:p>
    <w:p w14:paraId="02405C92">
      <w:pPr>
        <w:pStyle w:val="24"/>
        <w:spacing w:line="360" w:lineRule="auto"/>
        <w:ind w:firstLine="480"/>
        <w:rPr>
          <w:rFonts w:ascii="Times New Roman"/>
          <w:color w:val="000000"/>
          <w:sz w:val="24"/>
          <w:szCs w:val="24"/>
        </w:rPr>
      </w:pPr>
      <w:r>
        <w:rPr>
          <w:rFonts w:ascii="Times New Roman"/>
          <w:color w:val="000000"/>
          <w:sz w:val="24"/>
          <w:szCs w:val="24"/>
        </w:rPr>
        <w:t>AVS工作组制定了完善的工作组规约和知识产权政策，包括：《数字音视频编解码技术标准工作组章程》、《数字音视频编解码技术标准工作组章程细则》、《数字音视频编解码技术标准工作组会员协议》、《数字音视频编解码技术标准工作组知识产权政策》。这些文件为工作组的规范化、国际化奠定了法律基础，并为全球范围内协调好标准和专利关系问题探索出一条新的道路。这些规约和政策已在AVS标准制定及应用中经过了实践的检验。</w:t>
      </w:r>
    </w:p>
    <w:p w14:paraId="7A2BF2BA">
      <w:pPr>
        <w:pStyle w:val="24"/>
        <w:spacing w:line="360" w:lineRule="auto"/>
        <w:ind w:firstLine="480"/>
        <w:rPr>
          <w:rFonts w:ascii="Times New Roman"/>
          <w:color w:val="000000"/>
          <w:sz w:val="24"/>
          <w:szCs w:val="24"/>
        </w:rPr>
      </w:pPr>
      <w:r>
        <w:rPr>
          <w:rFonts w:ascii="Times New Roman"/>
          <w:color w:val="000000"/>
          <w:sz w:val="24"/>
          <w:szCs w:val="24"/>
        </w:rPr>
        <w:t>具体而言，在标准的制定过程中，首先通过技术文献分析，选择没有知识产权风险的技术形成基础框架；对于工作组成员的有价值的技术提案，在其作出至少同意在中国范围以专利池方式授权标准用户使用的前提下，大胆采用；对于必要但又有知识产权风险的技术点，通过自主技术进行替代；对于不涉及专利的公开技术、技术框架和本领域的先进技术都采取积极吸收的态度。得益于AVS标准的产业化推广及普及，工作组吸引到越来越多的有国际影响力企业的真正加盟。事实已证明，AVS“大胆采用先进技术，小心规避有潜在知识产权风险的专利”的技术路线是正确的，达到并超过最新国际标准水平的目标是可以实现的。</w:t>
      </w:r>
    </w:p>
    <w:p w14:paraId="030BB16D">
      <w:pPr>
        <w:pStyle w:val="24"/>
        <w:spacing w:line="360" w:lineRule="auto"/>
        <w:ind w:firstLine="480"/>
        <w:rPr>
          <w:rFonts w:ascii="Times New Roman"/>
          <w:color w:val="000000"/>
          <w:sz w:val="24"/>
          <w:szCs w:val="24"/>
        </w:rPr>
      </w:pPr>
      <w:r>
        <w:rPr>
          <w:rFonts w:ascii="Times New Roman"/>
          <w:color w:val="000000"/>
          <w:sz w:val="24"/>
          <w:szCs w:val="24"/>
        </w:rPr>
        <w:t>AVS工作组根据《信息技术 高效图形数据编码第3部分 点云主观质量评价方法》（征求意见稿），对在我国获得授权的专利或者已经公开的专利申请，进行了分析，以确定AVS点云主观质量评价标准是否存在知识产权风险。</w:t>
      </w:r>
    </w:p>
    <w:p w14:paraId="72A2638F">
      <w:pPr>
        <w:pStyle w:val="24"/>
        <w:spacing w:line="360" w:lineRule="auto"/>
        <w:ind w:firstLine="480"/>
        <w:rPr>
          <w:rFonts w:ascii="Times New Roman"/>
          <w:color w:val="000000"/>
          <w:sz w:val="24"/>
          <w:szCs w:val="24"/>
        </w:rPr>
      </w:pPr>
      <w:r>
        <w:rPr>
          <w:rFonts w:ascii="Times New Roman"/>
          <w:color w:val="000000"/>
          <w:sz w:val="24"/>
          <w:szCs w:val="24"/>
        </w:rPr>
        <w:t>1、AVS工作组中提案单位或工作组成员正在申请或拥有的自主专利构成了AVS点云主观质量评价标准的核心技术。根据目前提案单位及工作组成员单位披露情况，</w:t>
      </w:r>
      <w:r>
        <w:rPr>
          <w:rFonts w:ascii="Times New Roman"/>
          <w:sz w:val="24"/>
          <w:szCs w:val="24"/>
        </w:rPr>
        <w:t>腾讯科技（深圳）有限公司、</w:t>
      </w:r>
      <w:r>
        <w:rPr>
          <w:rFonts w:ascii="Times New Roman"/>
          <w:color w:val="000000"/>
          <w:sz w:val="24"/>
          <w:szCs w:val="24"/>
        </w:rPr>
        <w:t>鹏城实验室、</w:t>
      </w:r>
      <w:r>
        <w:rPr>
          <w:rFonts w:ascii="Times New Roman"/>
          <w:sz w:val="24"/>
          <w:szCs w:val="24"/>
        </w:rPr>
        <w:t>北京大学深圳研究生院、上海交通大学</w:t>
      </w:r>
      <w:r>
        <w:rPr>
          <w:rFonts w:ascii="Times New Roman"/>
          <w:color w:val="000000"/>
          <w:sz w:val="24"/>
          <w:szCs w:val="24"/>
        </w:rPr>
        <w:t>等单位均承诺AVS点云主观质量评价标准所涉及的所有必要专利都提供许可。这些专利或潜在专利的权利人均同意将所有必要专利都纳入“AVS专利池”统一进行实施许可，因此这些专利将是AVS点云主观质量评价技术专利池的主要组成部分；</w:t>
      </w:r>
    </w:p>
    <w:p w14:paraId="5AD2514C">
      <w:pPr>
        <w:pStyle w:val="24"/>
        <w:spacing w:line="360" w:lineRule="auto"/>
        <w:ind w:firstLine="480"/>
        <w:rPr>
          <w:rFonts w:ascii="Times New Roman"/>
          <w:color w:val="000000"/>
          <w:sz w:val="24"/>
          <w:szCs w:val="24"/>
        </w:rPr>
      </w:pPr>
      <w:r>
        <w:rPr>
          <w:rFonts w:ascii="Times New Roman"/>
          <w:color w:val="000000"/>
          <w:sz w:val="24"/>
          <w:szCs w:val="24"/>
        </w:rPr>
        <w:t>2、AVS点云主观质量评价标准使用了部分已过专利保护期限的专利技术，成为公开技术。</w:t>
      </w:r>
    </w:p>
    <w:p w14:paraId="5185B40A">
      <w:pPr>
        <w:pStyle w:val="24"/>
        <w:spacing w:line="360" w:lineRule="auto"/>
        <w:ind w:firstLine="480"/>
        <w:rPr>
          <w:rFonts w:ascii="Times New Roman"/>
          <w:color w:val="000000"/>
          <w:sz w:val="24"/>
          <w:szCs w:val="24"/>
        </w:rPr>
      </w:pPr>
      <w:r>
        <w:rPr>
          <w:rFonts w:ascii="Times New Roman"/>
          <w:color w:val="000000"/>
          <w:sz w:val="24"/>
          <w:szCs w:val="24"/>
        </w:rPr>
        <w:t>总体上我们认为中国研究机构和企业的自主专利技术以及公开技术构成了AVS点云主观质量评价标准的专利主体。AVS点云主观质量评价标准凭借自主技术的明显优势地位和公平合理的“AVS专利池”统一许可模式，在知识产权方面具有明显的技术主动权，能够妥善解决知识产权问题，不存在明显的知识产权侵权风险。</w:t>
      </w:r>
    </w:p>
    <w:p w14:paraId="1158BEE6">
      <w:pPr>
        <w:pStyle w:val="24"/>
        <w:spacing w:line="360" w:lineRule="auto"/>
        <w:ind w:firstLine="482"/>
        <w:rPr>
          <w:rFonts w:ascii="Times New Roman"/>
          <w:b/>
          <w:sz w:val="24"/>
          <w:szCs w:val="24"/>
        </w:rPr>
      </w:pPr>
    </w:p>
    <w:p w14:paraId="14A03A2D">
      <w:pPr>
        <w:pStyle w:val="24"/>
        <w:spacing w:line="360" w:lineRule="auto"/>
        <w:ind w:firstLine="482"/>
        <w:rPr>
          <w:rFonts w:ascii="Times New Roman"/>
          <w:b/>
          <w:color w:val="000000"/>
          <w:sz w:val="24"/>
          <w:szCs w:val="24"/>
        </w:rPr>
      </w:pPr>
      <w:r>
        <w:rPr>
          <w:rFonts w:ascii="Times New Roman"/>
          <w:b/>
          <w:sz w:val="24"/>
          <w:szCs w:val="24"/>
        </w:rPr>
        <w:t>五、</w:t>
      </w:r>
      <w:r>
        <w:rPr>
          <w:rFonts w:ascii="Times New Roman"/>
          <w:b/>
          <w:color w:val="000000"/>
          <w:sz w:val="24"/>
          <w:szCs w:val="24"/>
        </w:rPr>
        <w:t>采用国际标准和国外先进标准情况</w:t>
      </w:r>
    </w:p>
    <w:p w14:paraId="61E481CC">
      <w:pPr>
        <w:pStyle w:val="24"/>
        <w:spacing w:line="360" w:lineRule="auto"/>
        <w:ind w:firstLine="480"/>
        <w:rPr>
          <w:rFonts w:ascii="Times New Roman"/>
          <w:color w:val="000000"/>
          <w:sz w:val="24"/>
          <w:szCs w:val="24"/>
        </w:rPr>
      </w:pPr>
      <w:r>
        <w:rPr>
          <w:rFonts w:ascii="Times New Roman"/>
          <w:color w:val="000000"/>
          <w:sz w:val="24"/>
          <w:szCs w:val="24"/>
        </w:rPr>
        <w:t>本标准的结果分析采用国际标准ITU-R BT.500-14 电视图像质量主观质量评价方法（Methodology for the subjective assessment of the quality of television pictures）。</w:t>
      </w:r>
    </w:p>
    <w:p w14:paraId="16546AD2">
      <w:pPr>
        <w:pStyle w:val="24"/>
        <w:spacing w:line="360" w:lineRule="auto"/>
        <w:ind w:firstLine="482"/>
        <w:rPr>
          <w:rFonts w:ascii="Times New Roman"/>
          <w:color w:val="000000"/>
          <w:sz w:val="24"/>
          <w:szCs w:val="24"/>
        </w:rPr>
      </w:pPr>
      <w:r>
        <w:rPr>
          <w:rFonts w:ascii="Times New Roman"/>
          <w:b/>
          <w:sz w:val="24"/>
          <w:szCs w:val="24"/>
        </w:rPr>
        <w:t>六、</w:t>
      </w:r>
      <w:r>
        <w:rPr>
          <w:rFonts w:ascii="Times New Roman"/>
          <w:b/>
          <w:color w:val="000000"/>
          <w:sz w:val="24"/>
          <w:szCs w:val="24"/>
        </w:rPr>
        <w:t>与现行相关法律、法规、规章及相关标准的协调性</w:t>
      </w:r>
    </w:p>
    <w:p w14:paraId="3F92A97F">
      <w:pPr>
        <w:pStyle w:val="24"/>
        <w:spacing w:line="360" w:lineRule="auto"/>
        <w:ind w:firstLine="480"/>
        <w:rPr>
          <w:rFonts w:ascii="Times New Roman"/>
          <w:color w:val="000000"/>
          <w:sz w:val="24"/>
          <w:szCs w:val="24"/>
        </w:rPr>
      </w:pPr>
      <w:r>
        <w:rPr>
          <w:rFonts w:ascii="Times New Roman"/>
          <w:color w:val="000000"/>
          <w:sz w:val="24"/>
          <w:szCs w:val="24"/>
        </w:rPr>
        <w:t>符合我国有关的现行法律、法规。</w:t>
      </w:r>
    </w:p>
    <w:p w14:paraId="787D313E">
      <w:pPr>
        <w:pStyle w:val="24"/>
        <w:spacing w:line="360" w:lineRule="auto"/>
        <w:ind w:firstLine="482"/>
        <w:rPr>
          <w:rFonts w:ascii="Times New Roman"/>
          <w:b/>
          <w:color w:val="000000"/>
          <w:sz w:val="24"/>
          <w:szCs w:val="24"/>
        </w:rPr>
      </w:pPr>
      <w:r>
        <w:rPr>
          <w:rFonts w:ascii="Times New Roman"/>
          <w:b/>
          <w:sz w:val="24"/>
          <w:szCs w:val="24"/>
        </w:rPr>
        <w:t>七、</w:t>
      </w:r>
      <w:r>
        <w:rPr>
          <w:rFonts w:ascii="Times New Roman"/>
          <w:b/>
          <w:color w:val="000000"/>
          <w:sz w:val="24"/>
          <w:szCs w:val="24"/>
        </w:rPr>
        <w:t>重大分歧意见的处理经过和依据</w:t>
      </w:r>
    </w:p>
    <w:p w14:paraId="75D71BFE">
      <w:pPr>
        <w:pStyle w:val="24"/>
        <w:spacing w:line="360" w:lineRule="auto"/>
        <w:ind w:firstLine="480"/>
        <w:rPr>
          <w:rFonts w:ascii="Times New Roman"/>
          <w:color w:val="000000"/>
          <w:sz w:val="24"/>
          <w:szCs w:val="24"/>
        </w:rPr>
      </w:pPr>
      <w:r>
        <w:rPr>
          <w:rFonts w:ascii="Times New Roman"/>
          <w:color w:val="000000"/>
          <w:sz w:val="24"/>
          <w:szCs w:val="24"/>
        </w:rPr>
        <w:t>无。</w:t>
      </w:r>
    </w:p>
    <w:p w14:paraId="5859E4DF">
      <w:pPr>
        <w:pStyle w:val="24"/>
        <w:spacing w:line="360" w:lineRule="auto"/>
        <w:ind w:firstLine="482"/>
        <w:rPr>
          <w:rFonts w:ascii="Times New Roman"/>
          <w:b/>
          <w:color w:val="000000"/>
          <w:sz w:val="24"/>
          <w:szCs w:val="24"/>
        </w:rPr>
      </w:pPr>
      <w:r>
        <w:rPr>
          <w:rFonts w:ascii="Times New Roman"/>
          <w:b/>
          <w:color w:val="000000"/>
          <w:sz w:val="24"/>
          <w:szCs w:val="24"/>
        </w:rPr>
        <w:t>八、标准性质的建议</w:t>
      </w:r>
    </w:p>
    <w:p w14:paraId="0BAE13C2">
      <w:pPr>
        <w:pStyle w:val="24"/>
        <w:spacing w:line="360" w:lineRule="auto"/>
        <w:ind w:firstLine="480"/>
        <w:rPr>
          <w:rFonts w:ascii="Times New Roman"/>
          <w:color w:val="000000"/>
          <w:sz w:val="24"/>
          <w:szCs w:val="24"/>
        </w:rPr>
      </w:pPr>
      <w:r>
        <w:rPr>
          <w:rFonts w:ascii="Times New Roman"/>
          <w:color w:val="000000"/>
          <w:sz w:val="24"/>
          <w:szCs w:val="24"/>
        </w:rPr>
        <w:t>建议发布为推荐性标准。</w:t>
      </w:r>
    </w:p>
    <w:p w14:paraId="3038BDAA">
      <w:pPr>
        <w:pStyle w:val="24"/>
        <w:spacing w:line="360" w:lineRule="auto"/>
        <w:ind w:firstLine="482"/>
        <w:rPr>
          <w:rFonts w:ascii="Times New Roman"/>
          <w:b/>
          <w:sz w:val="24"/>
          <w:szCs w:val="24"/>
        </w:rPr>
      </w:pPr>
      <w:r>
        <w:rPr>
          <w:rFonts w:ascii="Times New Roman"/>
          <w:b/>
          <w:sz w:val="24"/>
          <w:szCs w:val="24"/>
        </w:rPr>
        <w:t>九、</w:t>
      </w:r>
      <w:r>
        <w:rPr>
          <w:rFonts w:ascii="Times New Roman"/>
          <w:b/>
          <w:color w:val="000000"/>
          <w:sz w:val="24"/>
          <w:szCs w:val="24"/>
        </w:rPr>
        <w:t>贯彻标准的要求和措施建议</w:t>
      </w:r>
    </w:p>
    <w:p w14:paraId="0BD0E17A">
      <w:pPr>
        <w:pStyle w:val="24"/>
        <w:spacing w:line="360" w:lineRule="auto"/>
        <w:ind w:firstLine="480"/>
        <w:rPr>
          <w:rFonts w:ascii="Times New Roman"/>
          <w:color w:val="000000"/>
          <w:sz w:val="24"/>
          <w:szCs w:val="24"/>
        </w:rPr>
      </w:pPr>
      <w:r>
        <w:rPr>
          <w:rFonts w:ascii="Times New Roman"/>
          <w:color w:val="000000"/>
          <w:sz w:val="24"/>
          <w:szCs w:val="24"/>
        </w:rPr>
        <w:t>建议该标准在报批阶段及正式发布后，同步开展标准宣贯培训与应用示范工作。通过各类国家级科技计划和产业化项目资助，大力开展基于AVS点云主观质量评价标准系统开发、试验示范系统建设、直至大规模商用，扶持</w:t>
      </w:r>
      <w:r>
        <w:rPr>
          <w:rFonts w:hint="eastAsia" w:ascii="Times New Roman"/>
          <w:color w:val="000000"/>
          <w:sz w:val="24"/>
          <w:szCs w:val="24"/>
        </w:rPr>
        <w:t>基于</w:t>
      </w:r>
      <w:r>
        <w:rPr>
          <w:rFonts w:ascii="Times New Roman"/>
          <w:color w:val="000000"/>
          <w:sz w:val="24"/>
          <w:szCs w:val="24"/>
        </w:rPr>
        <w:t>点云</w:t>
      </w:r>
      <w:r>
        <w:rPr>
          <w:rFonts w:hint="eastAsia" w:ascii="Times New Roman"/>
          <w:color w:val="000000"/>
          <w:sz w:val="24"/>
          <w:szCs w:val="24"/>
        </w:rPr>
        <w:t>为核心媒体内容</w:t>
      </w:r>
      <w:r>
        <w:rPr>
          <w:rFonts w:ascii="Times New Roman"/>
          <w:color w:val="000000"/>
          <w:sz w:val="24"/>
          <w:szCs w:val="24"/>
        </w:rPr>
        <w:t>产业链的形成。</w:t>
      </w:r>
    </w:p>
    <w:p w14:paraId="6766BA11">
      <w:pPr>
        <w:pStyle w:val="24"/>
        <w:spacing w:line="360" w:lineRule="auto"/>
        <w:ind w:firstLine="482"/>
        <w:rPr>
          <w:rFonts w:ascii="Times New Roman"/>
          <w:b/>
          <w:sz w:val="24"/>
          <w:szCs w:val="24"/>
        </w:rPr>
      </w:pPr>
      <w:r>
        <w:rPr>
          <w:rFonts w:ascii="Times New Roman"/>
          <w:b/>
          <w:sz w:val="24"/>
          <w:szCs w:val="24"/>
        </w:rPr>
        <w:t>十、替代或</w:t>
      </w:r>
      <w:r>
        <w:rPr>
          <w:rFonts w:ascii="Times New Roman"/>
          <w:b/>
          <w:color w:val="000000"/>
          <w:sz w:val="24"/>
          <w:szCs w:val="24"/>
        </w:rPr>
        <w:t>废止现行相关标准的建议</w:t>
      </w:r>
    </w:p>
    <w:p w14:paraId="6AFD1995">
      <w:pPr>
        <w:pStyle w:val="24"/>
        <w:spacing w:line="360" w:lineRule="auto"/>
        <w:ind w:firstLine="480"/>
        <w:rPr>
          <w:rFonts w:ascii="Times New Roman" w:eastAsia="楷体_GB2312"/>
          <w:szCs w:val="21"/>
        </w:rPr>
      </w:pPr>
      <w:r>
        <w:rPr>
          <w:rFonts w:ascii="Times New Roman"/>
          <w:color w:val="000000"/>
          <w:sz w:val="24"/>
          <w:szCs w:val="24"/>
        </w:rPr>
        <w:t>无。</w:t>
      </w:r>
    </w:p>
    <w:p w14:paraId="0ACB4931">
      <w:pPr>
        <w:pStyle w:val="24"/>
        <w:spacing w:line="360" w:lineRule="auto"/>
        <w:ind w:firstLine="482"/>
        <w:rPr>
          <w:rFonts w:ascii="Times New Roman"/>
          <w:b/>
          <w:color w:val="000000"/>
          <w:sz w:val="24"/>
          <w:szCs w:val="24"/>
        </w:rPr>
      </w:pPr>
      <w:r>
        <w:rPr>
          <w:rFonts w:ascii="Times New Roman"/>
          <w:b/>
          <w:sz w:val="24"/>
          <w:szCs w:val="24"/>
        </w:rPr>
        <w:t>十一、</w:t>
      </w:r>
      <w:r>
        <w:rPr>
          <w:rFonts w:ascii="Times New Roman"/>
          <w:b/>
          <w:color w:val="000000"/>
          <w:sz w:val="24"/>
          <w:szCs w:val="24"/>
        </w:rPr>
        <w:t>其它应予说明的事项</w:t>
      </w:r>
    </w:p>
    <w:p w14:paraId="33C38B08">
      <w:pPr>
        <w:pStyle w:val="24"/>
        <w:spacing w:line="360" w:lineRule="auto"/>
        <w:ind w:firstLine="480"/>
        <w:rPr>
          <w:rFonts w:ascii="Times New Roman"/>
          <w:color w:val="000000"/>
          <w:sz w:val="24"/>
          <w:szCs w:val="24"/>
        </w:rPr>
      </w:pPr>
      <w:r>
        <w:rPr>
          <w:rFonts w:ascii="Times New Roman"/>
          <w:color w:val="000000"/>
          <w:sz w:val="24"/>
          <w:szCs w:val="24"/>
        </w:rPr>
        <w:t>无。</w:t>
      </w:r>
    </w:p>
    <w:p w14:paraId="6FB98E84">
      <w:pPr>
        <w:spacing w:line="360" w:lineRule="auto"/>
      </w:pPr>
    </w:p>
    <w:p w14:paraId="3C9D4B46">
      <w:pPr>
        <w:spacing w:line="360" w:lineRule="auto"/>
        <w:jc w:val="center"/>
        <w:rPr>
          <w:sz w:val="24"/>
        </w:rPr>
      </w:pPr>
      <w:r>
        <w:rPr>
          <w:sz w:val="24"/>
        </w:rPr>
        <w:t xml:space="preserve">          团体标准《信息技术 高效图形数据编码第3部分 </w:t>
      </w:r>
      <w:r>
        <w:rPr>
          <w:rFonts w:hint="eastAsia"/>
          <w:sz w:val="24"/>
        </w:rPr>
        <w:t>点云</w:t>
      </w:r>
      <w:r>
        <w:rPr>
          <w:color w:val="000000"/>
          <w:sz w:val="24"/>
        </w:rPr>
        <w:t>主观质量评价</w:t>
      </w:r>
      <w:r>
        <w:rPr>
          <w:sz w:val="24"/>
        </w:rPr>
        <w:t>》编制工作组</w:t>
      </w:r>
    </w:p>
    <w:p w14:paraId="795D96DD">
      <w:pPr>
        <w:spacing w:line="360" w:lineRule="auto"/>
        <w:jc w:val="center"/>
        <w:rPr>
          <w:sz w:val="24"/>
        </w:rPr>
      </w:pPr>
      <w:r>
        <w:rPr>
          <w:sz w:val="24"/>
        </w:rPr>
        <w:t xml:space="preserve">                              2025-11-10</w:t>
      </w:r>
    </w:p>
    <w:p w14:paraId="1671A5B5">
      <w:pPr>
        <w:spacing w:line="360" w:lineRule="auto"/>
        <w:ind w:firstLine="420" w:firstLineChars="200"/>
        <w:rPr>
          <w:szCs w:val="21"/>
        </w:rPr>
      </w:pPr>
    </w:p>
    <w:p w14:paraId="20EEC92D">
      <w:pPr>
        <w:spacing w:line="360" w:lineRule="auto"/>
        <w:ind w:firstLine="420" w:firstLineChars="200"/>
        <w:rPr>
          <w:szCs w:val="21"/>
        </w:rPr>
      </w:pPr>
    </w:p>
    <w:p w14:paraId="644CEF29">
      <w:pPr>
        <w:spacing w:line="360" w:lineRule="auto"/>
        <w:ind w:firstLine="420" w:firstLineChars="200"/>
        <w:rPr>
          <w:szCs w:val="21"/>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decorative"/>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634BB">
    <w:pPr>
      <w:pStyle w:val="9"/>
    </w:pPr>
    <w:r>
      <w:rPr>
        <w:rFonts w:hint="eastAsia"/>
      </w:rPr>
      <w:t>团体标准送审资料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3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7"/>
      <w:suff w:val="nothing"/>
      <w:lvlText w:val="%1.%2.%3　"/>
      <w:lvlJc w:val="left"/>
      <w:pPr>
        <w:ind w:left="0" w:firstLine="0"/>
      </w:pPr>
      <w:rPr>
        <w:rFonts w:hint="eastAsia" w:ascii="黑体" w:hAnsi="Times New Roman" w:eastAsia="黑体"/>
        <w:b w:val="0"/>
        <w:i w:val="0"/>
        <w:sz w:val="21"/>
      </w:rPr>
    </w:lvl>
    <w:lvl w:ilvl="3" w:tentative="0">
      <w:start w:val="1"/>
      <w:numFmt w:val="decimal"/>
      <w:pStyle w:val="38"/>
      <w:suff w:val="nothing"/>
      <w:lvlText w:val="%1.%2.%3.%4　"/>
      <w:lvlJc w:val="left"/>
      <w:pPr>
        <w:ind w:left="0" w:firstLine="0"/>
      </w:pPr>
      <w:rPr>
        <w:rFonts w:hint="eastAsia" w:ascii="黑体" w:hAnsi="Times New Roman" w:eastAsia="黑体"/>
        <w:b w:val="0"/>
        <w:i w:val="0"/>
        <w:sz w:val="21"/>
      </w:rPr>
    </w:lvl>
    <w:lvl w:ilvl="4" w:tentative="0">
      <w:start w:val="1"/>
      <w:numFmt w:val="decimal"/>
      <w:pStyle w:val="39"/>
      <w:suff w:val="nothing"/>
      <w:lvlText w:val="%1.%2.%3.%4.%5　"/>
      <w:lvlJc w:val="left"/>
      <w:pPr>
        <w:ind w:left="0" w:firstLine="0"/>
      </w:pPr>
      <w:rPr>
        <w:rFonts w:hint="eastAsia" w:ascii="黑体" w:hAnsi="Times New Roman" w:eastAsia="黑体"/>
        <w:b w:val="0"/>
        <w:i w:val="0"/>
        <w:sz w:val="21"/>
      </w:rPr>
    </w:lvl>
    <w:lvl w:ilvl="5" w:tentative="0">
      <w:start w:val="1"/>
      <w:numFmt w:val="decimal"/>
      <w:pStyle w:val="4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3605527"/>
    <w:multiLevelType w:val="multilevel"/>
    <w:tmpl w:val="2360552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259622AC"/>
    <w:multiLevelType w:val="multilevel"/>
    <w:tmpl w:val="259622AC"/>
    <w:lvl w:ilvl="0" w:tentative="0">
      <w:start w:val="1"/>
      <w:numFmt w:val="bullet"/>
      <w:suff w:val="space"/>
      <w:lvlText w:val=""/>
      <w:lvlJc w:val="left"/>
      <w:pPr>
        <w:ind w:left="510" w:hanging="3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37822615"/>
    <w:multiLevelType w:val="multilevel"/>
    <w:tmpl w:val="37822615"/>
    <w:lvl w:ilvl="0" w:tentative="0">
      <w:start w:val="1"/>
      <w:numFmt w:val="decimal"/>
      <w:lvlText w:val="表%1"/>
      <w:lvlJc w:val="left"/>
      <w:pPr>
        <w:ind w:left="84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7EF2D4D"/>
    <w:multiLevelType w:val="multilevel"/>
    <w:tmpl w:val="57EF2D4D"/>
    <w:lvl w:ilvl="0" w:tentative="0">
      <w:start w:val="1"/>
      <w:numFmt w:val="decimal"/>
      <w:lvlText w:val="图%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yOTk1ZjQ0Y2ZhM2FjMTNmNjdhMmRhYTVjYmQ3NzQifQ=="/>
  </w:docVars>
  <w:rsids>
    <w:rsidRoot w:val="00146108"/>
    <w:rsid w:val="000079A5"/>
    <w:rsid w:val="0001147A"/>
    <w:rsid w:val="00013F63"/>
    <w:rsid w:val="00021F9A"/>
    <w:rsid w:val="00023CBA"/>
    <w:rsid w:val="00024831"/>
    <w:rsid w:val="00045BCF"/>
    <w:rsid w:val="00053A97"/>
    <w:rsid w:val="00054329"/>
    <w:rsid w:val="00056030"/>
    <w:rsid w:val="0006380C"/>
    <w:rsid w:val="000652C8"/>
    <w:rsid w:val="00067346"/>
    <w:rsid w:val="0007667D"/>
    <w:rsid w:val="000768B5"/>
    <w:rsid w:val="0008310F"/>
    <w:rsid w:val="00090610"/>
    <w:rsid w:val="00090ABB"/>
    <w:rsid w:val="000964AA"/>
    <w:rsid w:val="00097B6A"/>
    <w:rsid w:val="000A1434"/>
    <w:rsid w:val="000B5551"/>
    <w:rsid w:val="000C4E13"/>
    <w:rsid w:val="000C5142"/>
    <w:rsid w:val="00103E56"/>
    <w:rsid w:val="0010633A"/>
    <w:rsid w:val="00107B13"/>
    <w:rsid w:val="0011505F"/>
    <w:rsid w:val="00117349"/>
    <w:rsid w:val="00121905"/>
    <w:rsid w:val="0012398D"/>
    <w:rsid w:val="0014059C"/>
    <w:rsid w:val="00141A41"/>
    <w:rsid w:val="0014256C"/>
    <w:rsid w:val="00146108"/>
    <w:rsid w:val="00156BB0"/>
    <w:rsid w:val="00165C74"/>
    <w:rsid w:val="00166643"/>
    <w:rsid w:val="0018706C"/>
    <w:rsid w:val="00193866"/>
    <w:rsid w:val="001A478E"/>
    <w:rsid w:val="001B6063"/>
    <w:rsid w:val="001C3D12"/>
    <w:rsid w:val="001C5A95"/>
    <w:rsid w:val="001D386E"/>
    <w:rsid w:val="001E126E"/>
    <w:rsid w:val="001E4BCE"/>
    <w:rsid w:val="001E62BC"/>
    <w:rsid w:val="001F2374"/>
    <w:rsid w:val="001F36D0"/>
    <w:rsid w:val="001F4D50"/>
    <w:rsid w:val="00201B5D"/>
    <w:rsid w:val="00201FA6"/>
    <w:rsid w:val="00202CDB"/>
    <w:rsid w:val="0021249D"/>
    <w:rsid w:val="002241E6"/>
    <w:rsid w:val="00224F6C"/>
    <w:rsid w:val="00226599"/>
    <w:rsid w:val="00230B54"/>
    <w:rsid w:val="00235A39"/>
    <w:rsid w:val="00236698"/>
    <w:rsid w:val="00244404"/>
    <w:rsid w:val="00251A6A"/>
    <w:rsid w:val="00257438"/>
    <w:rsid w:val="00262241"/>
    <w:rsid w:val="002631BF"/>
    <w:rsid w:val="00270554"/>
    <w:rsid w:val="00271667"/>
    <w:rsid w:val="00277E22"/>
    <w:rsid w:val="0028072C"/>
    <w:rsid w:val="0028095C"/>
    <w:rsid w:val="0028126A"/>
    <w:rsid w:val="002816EB"/>
    <w:rsid w:val="00283056"/>
    <w:rsid w:val="002A7B14"/>
    <w:rsid w:val="002B15AA"/>
    <w:rsid w:val="002C45FF"/>
    <w:rsid w:val="002C4AE6"/>
    <w:rsid w:val="002D03E6"/>
    <w:rsid w:val="002E3731"/>
    <w:rsid w:val="002E5761"/>
    <w:rsid w:val="002E7C63"/>
    <w:rsid w:val="002F0B67"/>
    <w:rsid w:val="002F4910"/>
    <w:rsid w:val="00307811"/>
    <w:rsid w:val="003151D9"/>
    <w:rsid w:val="0033088F"/>
    <w:rsid w:val="00356D57"/>
    <w:rsid w:val="00373A13"/>
    <w:rsid w:val="00373EAC"/>
    <w:rsid w:val="003801D4"/>
    <w:rsid w:val="003A304B"/>
    <w:rsid w:val="003A715E"/>
    <w:rsid w:val="003B2441"/>
    <w:rsid w:val="003C4A62"/>
    <w:rsid w:val="003C6FFC"/>
    <w:rsid w:val="003D0E2F"/>
    <w:rsid w:val="003D3E99"/>
    <w:rsid w:val="003D58AC"/>
    <w:rsid w:val="003E2B28"/>
    <w:rsid w:val="003E7BBB"/>
    <w:rsid w:val="003F0D6A"/>
    <w:rsid w:val="004004C9"/>
    <w:rsid w:val="00400A12"/>
    <w:rsid w:val="004060C9"/>
    <w:rsid w:val="00415534"/>
    <w:rsid w:val="00416C26"/>
    <w:rsid w:val="00420D2B"/>
    <w:rsid w:val="0042588A"/>
    <w:rsid w:val="0043381D"/>
    <w:rsid w:val="004470C0"/>
    <w:rsid w:val="00451F05"/>
    <w:rsid w:val="00454043"/>
    <w:rsid w:val="004701DC"/>
    <w:rsid w:val="00475C44"/>
    <w:rsid w:val="0048558C"/>
    <w:rsid w:val="00495E15"/>
    <w:rsid w:val="00497611"/>
    <w:rsid w:val="004A2112"/>
    <w:rsid w:val="004A2C8E"/>
    <w:rsid w:val="004B7658"/>
    <w:rsid w:val="004C6EF7"/>
    <w:rsid w:val="004D2938"/>
    <w:rsid w:val="004D6E64"/>
    <w:rsid w:val="004D72B3"/>
    <w:rsid w:val="004D786D"/>
    <w:rsid w:val="004E0974"/>
    <w:rsid w:val="004E44EC"/>
    <w:rsid w:val="004E684F"/>
    <w:rsid w:val="004F222C"/>
    <w:rsid w:val="004F6FDC"/>
    <w:rsid w:val="00505C99"/>
    <w:rsid w:val="00505CF9"/>
    <w:rsid w:val="00507D01"/>
    <w:rsid w:val="00512C85"/>
    <w:rsid w:val="00515047"/>
    <w:rsid w:val="0051688E"/>
    <w:rsid w:val="0052219F"/>
    <w:rsid w:val="005245E3"/>
    <w:rsid w:val="00533AA0"/>
    <w:rsid w:val="0053795F"/>
    <w:rsid w:val="0055025D"/>
    <w:rsid w:val="00552866"/>
    <w:rsid w:val="00553CB1"/>
    <w:rsid w:val="00561B99"/>
    <w:rsid w:val="00562330"/>
    <w:rsid w:val="00562DE6"/>
    <w:rsid w:val="00563AFB"/>
    <w:rsid w:val="00565783"/>
    <w:rsid w:val="00580114"/>
    <w:rsid w:val="00580523"/>
    <w:rsid w:val="00590AF8"/>
    <w:rsid w:val="005A27ED"/>
    <w:rsid w:val="005A318C"/>
    <w:rsid w:val="005A703B"/>
    <w:rsid w:val="005B2711"/>
    <w:rsid w:val="005C11E9"/>
    <w:rsid w:val="005C46C4"/>
    <w:rsid w:val="005C79C7"/>
    <w:rsid w:val="005D38A3"/>
    <w:rsid w:val="005D3F95"/>
    <w:rsid w:val="005E1111"/>
    <w:rsid w:val="005E271A"/>
    <w:rsid w:val="005F048B"/>
    <w:rsid w:val="005F1F1B"/>
    <w:rsid w:val="00603D01"/>
    <w:rsid w:val="00610ECE"/>
    <w:rsid w:val="00611019"/>
    <w:rsid w:val="0061184A"/>
    <w:rsid w:val="006157F6"/>
    <w:rsid w:val="00635560"/>
    <w:rsid w:val="00640E06"/>
    <w:rsid w:val="006523D5"/>
    <w:rsid w:val="00652EC7"/>
    <w:rsid w:val="006564A9"/>
    <w:rsid w:val="006635F6"/>
    <w:rsid w:val="0066656D"/>
    <w:rsid w:val="006674AF"/>
    <w:rsid w:val="00684E39"/>
    <w:rsid w:val="0068514A"/>
    <w:rsid w:val="0068757C"/>
    <w:rsid w:val="0069032A"/>
    <w:rsid w:val="00694E1C"/>
    <w:rsid w:val="006A2250"/>
    <w:rsid w:val="006A2AFE"/>
    <w:rsid w:val="006A6B74"/>
    <w:rsid w:val="006A7333"/>
    <w:rsid w:val="006B0E84"/>
    <w:rsid w:val="006C1954"/>
    <w:rsid w:val="006C21D6"/>
    <w:rsid w:val="006C2D63"/>
    <w:rsid w:val="006C3882"/>
    <w:rsid w:val="006C4264"/>
    <w:rsid w:val="006C46F9"/>
    <w:rsid w:val="006D4874"/>
    <w:rsid w:val="006D4D99"/>
    <w:rsid w:val="006D5C94"/>
    <w:rsid w:val="006E39B2"/>
    <w:rsid w:val="006E3D66"/>
    <w:rsid w:val="00700A75"/>
    <w:rsid w:val="0070164B"/>
    <w:rsid w:val="007076F9"/>
    <w:rsid w:val="007150DC"/>
    <w:rsid w:val="007171F5"/>
    <w:rsid w:val="00721090"/>
    <w:rsid w:val="007216D1"/>
    <w:rsid w:val="00722F80"/>
    <w:rsid w:val="007254BF"/>
    <w:rsid w:val="007258C1"/>
    <w:rsid w:val="0073643C"/>
    <w:rsid w:val="00742546"/>
    <w:rsid w:val="00743ABA"/>
    <w:rsid w:val="0076227B"/>
    <w:rsid w:val="00770B0B"/>
    <w:rsid w:val="00771571"/>
    <w:rsid w:val="00775839"/>
    <w:rsid w:val="00777EE8"/>
    <w:rsid w:val="00782810"/>
    <w:rsid w:val="007866DB"/>
    <w:rsid w:val="007926AA"/>
    <w:rsid w:val="007A01B4"/>
    <w:rsid w:val="007A03AA"/>
    <w:rsid w:val="007A33D7"/>
    <w:rsid w:val="007A3A51"/>
    <w:rsid w:val="007A59A6"/>
    <w:rsid w:val="007A7F3A"/>
    <w:rsid w:val="007B0B0D"/>
    <w:rsid w:val="007B374D"/>
    <w:rsid w:val="007B403A"/>
    <w:rsid w:val="007D3217"/>
    <w:rsid w:val="007D6C81"/>
    <w:rsid w:val="007D791E"/>
    <w:rsid w:val="00806E0E"/>
    <w:rsid w:val="0081333F"/>
    <w:rsid w:val="00815A27"/>
    <w:rsid w:val="00817508"/>
    <w:rsid w:val="00820B6E"/>
    <w:rsid w:val="00830CE6"/>
    <w:rsid w:val="00840649"/>
    <w:rsid w:val="0084465A"/>
    <w:rsid w:val="00854FF8"/>
    <w:rsid w:val="00863310"/>
    <w:rsid w:val="00864BC7"/>
    <w:rsid w:val="00866F84"/>
    <w:rsid w:val="00870566"/>
    <w:rsid w:val="0087460D"/>
    <w:rsid w:val="00876E18"/>
    <w:rsid w:val="00882B08"/>
    <w:rsid w:val="00891070"/>
    <w:rsid w:val="0089157E"/>
    <w:rsid w:val="008B31B3"/>
    <w:rsid w:val="008D4170"/>
    <w:rsid w:val="008D6E4E"/>
    <w:rsid w:val="008D7E8C"/>
    <w:rsid w:val="008F60EC"/>
    <w:rsid w:val="008F6AD6"/>
    <w:rsid w:val="00902F1D"/>
    <w:rsid w:val="0091199E"/>
    <w:rsid w:val="0091341A"/>
    <w:rsid w:val="0091657C"/>
    <w:rsid w:val="009202F5"/>
    <w:rsid w:val="00923C4E"/>
    <w:rsid w:val="009265F9"/>
    <w:rsid w:val="009275AB"/>
    <w:rsid w:val="00932E82"/>
    <w:rsid w:val="00933A62"/>
    <w:rsid w:val="00941EF6"/>
    <w:rsid w:val="009448AB"/>
    <w:rsid w:val="009453C1"/>
    <w:rsid w:val="00947F7E"/>
    <w:rsid w:val="00962579"/>
    <w:rsid w:val="009632D4"/>
    <w:rsid w:val="00967D8E"/>
    <w:rsid w:val="0097428E"/>
    <w:rsid w:val="00976E7A"/>
    <w:rsid w:val="00984013"/>
    <w:rsid w:val="00986394"/>
    <w:rsid w:val="00987C9A"/>
    <w:rsid w:val="009906E6"/>
    <w:rsid w:val="009921D6"/>
    <w:rsid w:val="00993A3B"/>
    <w:rsid w:val="0099422A"/>
    <w:rsid w:val="00996CD8"/>
    <w:rsid w:val="009A3DEB"/>
    <w:rsid w:val="009B54F2"/>
    <w:rsid w:val="009C2144"/>
    <w:rsid w:val="009C717C"/>
    <w:rsid w:val="009C789C"/>
    <w:rsid w:val="009D4B94"/>
    <w:rsid w:val="009D7A72"/>
    <w:rsid w:val="009D7ACD"/>
    <w:rsid w:val="009E049F"/>
    <w:rsid w:val="009E1340"/>
    <w:rsid w:val="009E4544"/>
    <w:rsid w:val="00A1272D"/>
    <w:rsid w:val="00A16683"/>
    <w:rsid w:val="00A26865"/>
    <w:rsid w:val="00A31C4D"/>
    <w:rsid w:val="00A347D9"/>
    <w:rsid w:val="00A360B9"/>
    <w:rsid w:val="00A41388"/>
    <w:rsid w:val="00A416CB"/>
    <w:rsid w:val="00A43602"/>
    <w:rsid w:val="00A4413C"/>
    <w:rsid w:val="00A5583F"/>
    <w:rsid w:val="00A561C8"/>
    <w:rsid w:val="00A56FB7"/>
    <w:rsid w:val="00A57A80"/>
    <w:rsid w:val="00A777AE"/>
    <w:rsid w:val="00A810BA"/>
    <w:rsid w:val="00A97FCE"/>
    <w:rsid w:val="00AA2B2D"/>
    <w:rsid w:val="00AA4537"/>
    <w:rsid w:val="00AB1CF4"/>
    <w:rsid w:val="00AB4ABA"/>
    <w:rsid w:val="00AC4CA5"/>
    <w:rsid w:val="00AD0984"/>
    <w:rsid w:val="00AE3013"/>
    <w:rsid w:val="00AE3C18"/>
    <w:rsid w:val="00AE6478"/>
    <w:rsid w:val="00AF6CE6"/>
    <w:rsid w:val="00B019D4"/>
    <w:rsid w:val="00B05742"/>
    <w:rsid w:val="00B05A4E"/>
    <w:rsid w:val="00B07763"/>
    <w:rsid w:val="00B11350"/>
    <w:rsid w:val="00B12FF5"/>
    <w:rsid w:val="00B17CDB"/>
    <w:rsid w:val="00B20C65"/>
    <w:rsid w:val="00B23A5F"/>
    <w:rsid w:val="00B24DB0"/>
    <w:rsid w:val="00B3086E"/>
    <w:rsid w:val="00B35403"/>
    <w:rsid w:val="00B36738"/>
    <w:rsid w:val="00B46726"/>
    <w:rsid w:val="00B5238A"/>
    <w:rsid w:val="00B53336"/>
    <w:rsid w:val="00B608BF"/>
    <w:rsid w:val="00B62B4F"/>
    <w:rsid w:val="00B62F53"/>
    <w:rsid w:val="00B6704D"/>
    <w:rsid w:val="00B73F1D"/>
    <w:rsid w:val="00B830B0"/>
    <w:rsid w:val="00B83BF4"/>
    <w:rsid w:val="00B8418B"/>
    <w:rsid w:val="00B9193D"/>
    <w:rsid w:val="00B9239E"/>
    <w:rsid w:val="00B96ED2"/>
    <w:rsid w:val="00BA45C4"/>
    <w:rsid w:val="00BA69F8"/>
    <w:rsid w:val="00BD0647"/>
    <w:rsid w:val="00BD73F5"/>
    <w:rsid w:val="00C15F38"/>
    <w:rsid w:val="00C2259C"/>
    <w:rsid w:val="00C250D0"/>
    <w:rsid w:val="00C25D67"/>
    <w:rsid w:val="00C3331E"/>
    <w:rsid w:val="00C34F6D"/>
    <w:rsid w:val="00C36C08"/>
    <w:rsid w:val="00C64032"/>
    <w:rsid w:val="00C64880"/>
    <w:rsid w:val="00C86892"/>
    <w:rsid w:val="00C900D2"/>
    <w:rsid w:val="00C94CD4"/>
    <w:rsid w:val="00C95F53"/>
    <w:rsid w:val="00C9632E"/>
    <w:rsid w:val="00CA1696"/>
    <w:rsid w:val="00CA648F"/>
    <w:rsid w:val="00CB0DA5"/>
    <w:rsid w:val="00CB1EA9"/>
    <w:rsid w:val="00CB3FA8"/>
    <w:rsid w:val="00CC467B"/>
    <w:rsid w:val="00CC73A3"/>
    <w:rsid w:val="00CD511D"/>
    <w:rsid w:val="00CD5EE8"/>
    <w:rsid w:val="00CD761B"/>
    <w:rsid w:val="00CE37F5"/>
    <w:rsid w:val="00CE532F"/>
    <w:rsid w:val="00CF0D98"/>
    <w:rsid w:val="00CF27C9"/>
    <w:rsid w:val="00D0352E"/>
    <w:rsid w:val="00D06608"/>
    <w:rsid w:val="00D26ED6"/>
    <w:rsid w:val="00D32C11"/>
    <w:rsid w:val="00D46119"/>
    <w:rsid w:val="00D575C8"/>
    <w:rsid w:val="00D57F95"/>
    <w:rsid w:val="00D64685"/>
    <w:rsid w:val="00D67120"/>
    <w:rsid w:val="00D67FD3"/>
    <w:rsid w:val="00D725EF"/>
    <w:rsid w:val="00D73EC1"/>
    <w:rsid w:val="00D757E3"/>
    <w:rsid w:val="00D77A84"/>
    <w:rsid w:val="00D805A4"/>
    <w:rsid w:val="00D80EA5"/>
    <w:rsid w:val="00D90C32"/>
    <w:rsid w:val="00D91E99"/>
    <w:rsid w:val="00D957C4"/>
    <w:rsid w:val="00DA3641"/>
    <w:rsid w:val="00DB01F3"/>
    <w:rsid w:val="00DC05FA"/>
    <w:rsid w:val="00DC55D5"/>
    <w:rsid w:val="00DC6894"/>
    <w:rsid w:val="00DD1854"/>
    <w:rsid w:val="00DE2DB9"/>
    <w:rsid w:val="00DE5954"/>
    <w:rsid w:val="00DE7BA6"/>
    <w:rsid w:val="00DF1AD3"/>
    <w:rsid w:val="00DF357D"/>
    <w:rsid w:val="00DF4D26"/>
    <w:rsid w:val="00E04012"/>
    <w:rsid w:val="00E04090"/>
    <w:rsid w:val="00E068BC"/>
    <w:rsid w:val="00E0699D"/>
    <w:rsid w:val="00E14EC1"/>
    <w:rsid w:val="00E1528F"/>
    <w:rsid w:val="00E21036"/>
    <w:rsid w:val="00E2207C"/>
    <w:rsid w:val="00E2339C"/>
    <w:rsid w:val="00E30240"/>
    <w:rsid w:val="00E32589"/>
    <w:rsid w:val="00E32A8F"/>
    <w:rsid w:val="00E348A1"/>
    <w:rsid w:val="00E35B44"/>
    <w:rsid w:val="00E4178B"/>
    <w:rsid w:val="00E43DBE"/>
    <w:rsid w:val="00E81F22"/>
    <w:rsid w:val="00E93112"/>
    <w:rsid w:val="00E95B1C"/>
    <w:rsid w:val="00E960A3"/>
    <w:rsid w:val="00EA0FB3"/>
    <w:rsid w:val="00EA58ED"/>
    <w:rsid w:val="00EA7548"/>
    <w:rsid w:val="00EB0A7C"/>
    <w:rsid w:val="00EB1A90"/>
    <w:rsid w:val="00EB3C07"/>
    <w:rsid w:val="00EB6A29"/>
    <w:rsid w:val="00EC1755"/>
    <w:rsid w:val="00EC2B9A"/>
    <w:rsid w:val="00EC4C4B"/>
    <w:rsid w:val="00EC76D5"/>
    <w:rsid w:val="00ED2657"/>
    <w:rsid w:val="00ED5C59"/>
    <w:rsid w:val="00ED676F"/>
    <w:rsid w:val="00EE3222"/>
    <w:rsid w:val="00EE388C"/>
    <w:rsid w:val="00EF17C4"/>
    <w:rsid w:val="00EF769C"/>
    <w:rsid w:val="00F13219"/>
    <w:rsid w:val="00F14DE6"/>
    <w:rsid w:val="00F16D32"/>
    <w:rsid w:val="00F33880"/>
    <w:rsid w:val="00F42AA1"/>
    <w:rsid w:val="00F44F8F"/>
    <w:rsid w:val="00F51A41"/>
    <w:rsid w:val="00F74644"/>
    <w:rsid w:val="00F8470A"/>
    <w:rsid w:val="00F907EA"/>
    <w:rsid w:val="00FA2D5A"/>
    <w:rsid w:val="00FA341F"/>
    <w:rsid w:val="00FA5147"/>
    <w:rsid w:val="00FC2DE3"/>
    <w:rsid w:val="00FC656B"/>
    <w:rsid w:val="00FE076F"/>
    <w:rsid w:val="00FE5955"/>
    <w:rsid w:val="00FF5256"/>
    <w:rsid w:val="00FF65B0"/>
    <w:rsid w:val="26CB1123"/>
    <w:rsid w:val="2C7D16AE"/>
    <w:rsid w:val="306B6744"/>
    <w:rsid w:val="36131AD6"/>
    <w:rsid w:val="3A0D759D"/>
    <w:rsid w:val="4BDA78A2"/>
    <w:rsid w:val="52816547"/>
    <w:rsid w:val="66384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4" w:semiHidden="0" w:name="heading 4"/>
    <w:lsdException w:qFormat="1" w:unhideWhenUsed="0" w:uiPriority="5"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link w:val="15"/>
    <w:unhideWhenUsed/>
    <w:qFormat/>
    <w:uiPriority w:val="4"/>
    <w:pPr>
      <w:keepNext/>
      <w:keepLines/>
      <w:spacing w:before="280" w:after="290" w:line="376" w:lineRule="auto"/>
      <w:outlineLvl w:val="3"/>
    </w:pPr>
    <w:rPr>
      <w:rFonts w:ascii="Calibri Light" w:hAnsi="Calibri Light"/>
      <w:b/>
      <w:bCs/>
      <w:sz w:val="24"/>
      <w:szCs w:val="28"/>
    </w:rPr>
  </w:style>
  <w:style w:type="paragraph" w:styleId="3">
    <w:name w:val="heading 5"/>
    <w:basedOn w:val="2"/>
    <w:next w:val="1"/>
    <w:link w:val="16"/>
    <w:qFormat/>
    <w:uiPriority w:val="5"/>
    <w:pPr>
      <w:keepLines w:val="0"/>
      <w:widowControl/>
      <w:tabs>
        <w:tab w:val="left" w:pos="1021"/>
        <w:tab w:val="left" w:pos="1080"/>
      </w:tabs>
      <w:suppressAutoHyphens/>
      <w:spacing w:before="60" w:after="240" w:line="240" w:lineRule="atLeast"/>
      <w:ind w:left="432" w:hanging="432"/>
      <w:jc w:val="left"/>
      <w:outlineLvl w:val="4"/>
    </w:pPr>
    <w:rPr>
      <w:rFonts w:ascii="Cambria" w:hAnsi="Cambria"/>
      <w:bCs w:val="0"/>
      <w:kern w:val="0"/>
      <w:sz w:val="21"/>
      <w:szCs w:val="22"/>
      <w:lang w:val="en-GB" w:eastAsia="ja-JP"/>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caption"/>
    <w:basedOn w:val="1"/>
    <w:next w:val="1"/>
    <w:link w:val="17"/>
    <w:qFormat/>
    <w:uiPriority w:val="35"/>
    <w:pPr>
      <w:spacing w:before="152" w:after="360"/>
      <w:jc w:val="center"/>
    </w:pPr>
    <w:rPr>
      <w:rFonts w:cs="Arial"/>
      <w:sz w:val="18"/>
      <w:szCs w:val="20"/>
    </w:rPr>
  </w:style>
  <w:style w:type="paragraph" w:styleId="5">
    <w:name w:val="annotation text"/>
    <w:basedOn w:val="1"/>
    <w:link w:val="18"/>
    <w:qFormat/>
    <w:uiPriority w:val="0"/>
    <w:pPr>
      <w:jc w:val="left"/>
    </w:pPr>
  </w:style>
  <w:style w:type="paragraph" w:styleId="6">
    <w:name w:val="Body Text"/>
    <w:basedOn w:val="1"/>
    <w:link w:val="29"/>
    <w:qFormat/>
    <w:uiPriority w:val="0"/>
    <w:pPr>
      <w:spacing w:after="120"/>
    </w:pPr>
  </w:style>
  <w:style w:type="paragraph" w:styleId="7">
    <w:name w:val="Balloon Text"/>
    <w:basedOn w:val="1"/>
    <w:link w:val="19"/>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annotation subject"/>
    <w:basedOn w:val="5"/>
    <w:next w:val="5"/>
    <w:link w:val="22"/>
    <w:qFormat/>
    <w:uiPriority w:val="0"/>
    <w:rPr>
      <w:b/>
      <w:bCs/>
    </w:rPr>
  </w:style>
  <w:style w:type="character" w:styleId="14">
    <w:name w:val="annotation reference"/>
    <w:qFormat/>
    <w:uiPriority w:val="0"/>
    <w:rPr>
      <w:sz w:val="21"/>
      <w:szCs w:val="21"/>
    </w:rPr>
  </w:style>
  <w:style w:type="character" w:customStyle="1" w:styleId="15">
    <w:name w:val="标题 4 字符"/>
    <w:link w:val="2"/>
    <w:uiPriority w:val="4"/>
    <w:rPr>
      <w:rFonts w:ascii="Calibri Light" w:hAnsi="Calibri Light"/>
      <w:b/>
      <w:bCs/>
      <w:kern w:val="2"/>
      <w:sz w:val="24"/>
      <w:szCs w:val="28"/>
    </w:rPr>
  </w:style>
  <w:style w:type="character" w:customStyle="1" w:styleId="16">
    <w:name w:val="标题 5 字符"/>
    <w:link w:val="3"/>
    <w:qFormat/>
    <w:uiPriority w:val="5"/>
    <w:rPr>
      <w:rFonts w:ascii="Cambria" w:hAnsi="Cambria"/>
      <w:b/>
      <w:sz w:val="21"/>
      <w:szCs w:val="22"/>
      <w:lang w:val="en-GB" w:eastAsia="ja-JP"/>
    </w:rPr>
  </w:style>
  <w:style w:type="character" w:customStyle="1" w:styleId="17">
    <w:name w:val="题注 字符"/>
    <w:link w:val="4"/>
    <w:qFormat/>
    <w:locked/>
    <w:uiPriority w:val="35"/>
    <w:rPr>
      <w:rFonts w:cs="Arial"/>
      <w:kern w:val="2"/>
      <w:sz w:val="18"/>
    </w:rPr>
  </w:style>
  <w:style w:type="character" w:customStyle="1" w:styleId="18">
    <w:name w:val="批注文字 字符"/>
    <w:link w:val="5"/>
    <w:qFormat/>
    <w:uiPriority w:val="0"/>
    <w:rPr>
      <w:kern w:val="2"/>
      <w:sz w:val="21"/>
      <w:szCs w:val="24"/>
    </w:rPr>
  </w:style>
  <w:style w:type="character" w:customStyle="1" w:styleId="19">
    <w:name w:val="批注框文本 字符"/>
    <w:link w:val="7"/>
    <w:qFormat/>
    <w:uiPriority w:val="0"/>
    <w:rPr>
      <w:kern w:val="2"/>
      <w:sz w:val="18"/>
      <w:szCs w:val="18"/>
    </w:rPr>
  </w:style>
  <w:style w:type="character" w:customStyle="1" w:styleId="20">
    <w:name w:val="页脚 字符"/>
    <w:link w:val="8"/>
    <w:qFormat/>
    <w:uiPriority w:val="0"/>
    <w:rPr>
      <w:kern w:val="2"/>
      <w:sz w:val="18"/>
      <w:szCs w:val="18"/>
    </w:rPr>
  </w:style>
  <w:style w:type="character" w:customStyle="1" w:styleId="21">
    <w:name w:val="页眉 字符"/>
    <w:link w:val="9"/>
    <w:qFormat/>
    <w:uiPriority w:val="99"/>
    <w:rPr>
      <w:kern w:val="2"/>
      <w:sz w:val="18"/>
      <w:szCs w:val="18"/>
    </w:rPr>
  </w:style>
  <w:style w:type="character" w:customStyle="1" w:styleId="22">
    <w:name w:val="批注主题 字符"/>
    <w:link w:val="11"/>
    <w:qFormat/>
    <w:uiPriority w:val="0"/>
    <w:rPr>
      <w:b/>
      <w:bCs/>
      <w:kern w:val="2"/>
      <w:sz w:val="21"/>
      <w:szCs w:val="24"/>
    </w:rPr>
  </w:style>
  <w:style w:type="paragraph" w:customStyle="1" w:styleId="23">
    <w:name w:val="Char Char Char1 Char"/>
    <w:basedOn w:val="1"/>
    <w:qFormat/>
    <w:uiPriority w:val="0"/>
  </w:style>
  <w:style w:type="paragraph" w:customStyle="1" w:styleId="24">
    <w:name w:val="段"/>
    <w:link w:val="2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5">
    <w:name w:val="段 Char"/>
    <w:link w:val="24"/>
    <w:qFormat/>
    <w:uiPriority w:val="0"/>
    <w:rPr>
      <w:rFonts w:ascii="宋体"/>
      <w:sz w:val="21"/>
      <w:lang w:val="en-US" w:eastAsia="zh-CN" w:bidi="ar-SA"/>
    </w:rPr>
  </w:style>
  <w:style w:type="paragraph" w:customStyle="1" w:styleId="26">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27">
    <w:name w:val="Char Char5 Char Char Char Char Char Char"/>
    <w:basedOn w:val="1"/>
    <w:qFormat/>
    <w:uiPriority w:val="0"/>
    <w:pPr>
      <w:widowControl/>
      <w:spacing w:after="160" w:line="240" w:lineRule="exact"/>
      <w:jc w:val="left"/>
    </w:pPr>
    <w:rPr>
      <w:rFonts w:ascii="Verdana" w:hAnsi="Verdana" w:eastAsia="仿宋_GB2312"/>
      <w:bCs/>
      <w:color w:val="000000"/>
      <w:kern w:val="0"/>
      <w:sz w:val="24"/>
      <w:szCs w:val="20"/>
      <w:lang w:eastAsia="en-US"/>
    </w:rPr>
  </w:style>
  <w:style w:type="character" w:customStyle="1" w:styleId="28">
    <w:name w:val="批注文字 字符1"/>
    <w:autoRedefine/>
    <w:qFormat/>
    <w:uiPriority w:val="0"/>
    <w:rPr>
      <w:kern w:val="2"/>
      <w:sz w:val="21"/>
      <w:szCs w:val="24"/>
      <w:lang w:val="zh-CN" w:eastAsia="zh-CN"/>
    </w:rPr>
  </w:style>
  <w:style w:type="character" w:customStyle="1" w:styleId="29">
    <w:name w:val="正文文本 字符"/>
    <w:link w:val="6"/>
    <w:qFormat/>
    <w:uiPriority w:val="0"/>
    <w:rPr>
      <w:kern w:val="2"/>
      <w:sz w:val="21"/>
      <w:szCs w:val="24"/>
    </w:rPr>
  </w:style>
  <w:style w:type="paragraph" w:customStyle="1" w:styleId="30">
    <w:name w:val="Char Char Char1 Char1"/>
    <w:basedOn w:val="1"/>
    <w:autoRedefine/>
    <w:qFormat/>
    <w:uiPriority w:val="0"/>
  </w:style>
  <w:style w:type="paragraph" w:customStyle="1" w:styleId="31">
    <w:name w:val="Char Char5 Char Char Char Char Char Char1"/>
    <w:basedOn w:val="1"/>
    <w:autoRedefine/>
    <w:qFormat/>
    <w:uiPriority w:val="0"/>
    <w:pPr>
      <w:widowControl/>
      <w:spacing w:after="160" w:line="240" w:lineRule="exact"/>
      <w:jc w:val="left"/>
    </w:pPr>
    <w:rPr>
      <w:rFonts w:ascii="Verdana" w:hAnsi="Verdana" w:eastAsia="仿宋_GB2312"/>
      <w:bCs/>
      <w:color w:val="000000"/>
      <w:kern w:val="0"/>
      <w:sz w:val="24"/>
      <w:szCs w:val="20"/>
      <w:lang w:eastAsia="en-US"/>
    </w:rPr>
  </w:style>
  <w:style w:type="paragraph" w:customStyle="1" w:styleId="32">
    <w:name w:val="列出段落"/>
    <w:basedOn w:val="1"/>
    <w:link w:val="34"/>
    <w:autoRedefine/>
    <w:qFormat/>
    <w:uiPriority w:val="34"/>
    <w:pPr>
      <w:widowControl/>
      <w:spacing w:line="360" w:lineRule="auto"/>
      <w:ind w:left="420"/>
      <w:jc w:val="center"/>
    </w:pPr>
  </w:style>
  <w:style w:type="paragraph" w:customStyle="1" w:styleId="33">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34">
    <w:name w:val="列表段落 字符"/>
    <w:link w:val="32"/>
    <w:qFormat/>
    <w:uiPriority w:val="34"/>
    <w:rPr>
      <w:kern w:val="2"/>
      <w:sz w:val="21"/>
      <w:szCs w:val="24"/>
    </w:rPr>
  </w:style>
  <w:style w:type="paragraph" w:customStyle="1" w:styleId="35">
    <w:name w:val="一级条标题"/>
    <w:next w:val="24"/>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6">
    <w:name w:val="章标题"/>
    <w:next w:val="24"/>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37">
    <w:name w:val="二级条标题"/>
    <w:basedOn w:val="35"/>
    <w:next w:val="24"/>
    <w:qFormat/>
    <w:uiPriority w:val="0"/>
    <w:pPr>
      <w:numPr>
        <w:ilvl w:val="2"/>
      </w:numPr>
      <w:spacing w:before="50" w:after="50"/>
      <w:outlineLvl w:val="3"/>
    </w:pPr>
  </w:style>
  <w:style w:type="paragraph" w:customStyle="1" w:styleId="38">
    <w:name w:val="三级条标题"/>
    <w:basedOn w:val="37"/>
    <w:next w:val="24"/>
    <w:qFormat/>
    <w:uiPriority w:val="0"/>
    <w:pPr>
      <w:numPr>
        <w:ilvl w:val="3"/>
      </w:numPr>
      <w:outlineLvl w:val="4"/>
    </w:pPr>
  </w:style>
  <w:style w:type="paragraph" w:customStyle="1" w:styleId="39">
    <w:name w:val="四级条标题"/>
    <w:basedOn w:val="38"/>
    <w:next w:val="24"/>
    <w:qFormat/>
    <w:uiPriority w:val="0"/>
    <w:pPr>
      <w:numPr>
        <w:ilvl w:val="4"/>
      </w:numPr>
      <w:outlineLvl w:val="5"/>
    </w:pPr>
  </w:style>
  <w:style w:type="paragraph" w:customStyle="1" w:styleId="40">
    <w:name w:val="五级条标题"/>
    <w:basedOn w:val="39"/>
    <w:next w:val="24"/>
    <w:qFormat/>
    <w:uiPriority w:val="0"/>
    <w:pPr>
      <w:numPr>
        <w:ilvl w:val="5"/>
      </w:numPr>
      <w:outlineLvl w:val="6"/>
    </w:pPr>
  </w:style>
  <w:style w:type="paragraph" w:styleId="41">
    <w:name w:val="List Paragraph"/>
    <w:basedOn w:val="1"/>
    <w:qFormat/>
    <w:uiPriority w:val="34"/>
    <w:pPr>
      <w:ind w:firstLine="420" w:firstLineChars="200"/>
    </w:pPr>
  </w:style>
  <w:style w:type="paragraph" w:customStyle="1" w:styleId="42">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emf"/><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95BA-ADC5-448F-B638-99B23C5FC246}">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20</Pages>
  <Words>6307</Words>
  <Characters>6657</Characters>
  <Lines>100</Lines>
  <Paragraphs>28</Paragraphs>
  <TotalTime>0</TotalTime>
  <ScaleCrop>false</ScaleCrop>
  <LinksUpToDate>false</LinksUpToDate>
  <CharactersWithSpaces>6710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2025-11-02T23:43:00Z</dcterms:created>
  <dc:creator>MC SYSTEM</dc:creator>
  <cp:lastModifiedBy>竟然有人</cp:lastModifiedBy>
  <cp:lastPrinted>2014-12-03T14:16:00Z</cp:lastPrinted>
  <dcterms:modified xsi:type="dcterms:W3CDTF">2026-09-03T02:19:19Z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7CD0CD4869354145BF1AFDB0261EBCF9_13</vt:lpwstr>
  </property>
  <property fmtid="{D5CDD505-2E9C-101B-9397-08002B2CF9AE}" pid="4" name="KSOTemplateDocerSaveRecord">
    <vt:lpwstr>eyJoZGlkIjoiYjA3NWUyMDBjM2M5Y2ExMGM1OTg0MzhkNTk0OWFlNDAiLCJ1c2VySWQiOiIyNjc4ODg2MTcifQ==</vt:lpwstr>
  </property>
</Properties>
</file>