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E9361" w14:textId="77777777" w:rsidR="00732E68" w:rsidRDefault="00000000">
      <w:pPr>
        <w:widowControl w:val="0"/>
        <w:adjustRightInd w:val="0"/>
        <w:spacing w:after="0" w:line="400" w:lineRule="exact"/>
        <w:jc w:val="center"/>
        <w:rPr>
          <w:rFonts w:cs="宋体"/>
          <w:kern w:val="2"/>
          <w:sz w:val="30"/>
          <w:szCs w:val="30"/>
          <w:lang w:eastAsia="zh-CN"/>
        </w:rPr>
      </w:pPr>
      <w:r>
        <w:rPr>
          <w:rFonts w:cs="宋体" w:hint="eastAsia"/>
          <w:kern w:val="2"/>
          <w:sz w:val="30"/>
          <w:szCs w:val="30"/>
          <w:lang w:eastAsia="zh-CN"/>
        </w:rPr>
        <w:t>团体标准《多模态AIGC内容评估技术 第1部分：主观评估方法规范》征求意见稿编制说明</w:t>
      </w:r>
    </w:p>
    <w:p w14:paraId="62D8B7CB" w14:textId="77777777" w:rsidR="00732E68" w:rsidRDefault="00000000">
      <w:pPr>
        <w:pStyle w:val="1"/>
        <w:rPr>
          <w:color w:val="auto"/>
          <w:lang w:eastAsia="zh-CN"/>
        </w:rPr>
      </w:pPr>
      <w:r>
        <w:rPr>
          <w:rFonts w:ascii="黑体" w:eastAsia="黑体" w:hAnsi="黑体"/>
          <w:color w:val="auto"/>
          <w:lang w:eastAsia="zh-CN"/>
        </w:rPr>
        <w:t>一、工作简况</w:t>
      </w:r>
    </w:p>
    <w:p w14:paraId="2F0FD27F" w14:textId="77777777" w:rsidR="00732E68" w:rsidRDefault="00000000">
      <w:pPr>
        <w:widowControl w:val="0"/>
        <w:adjustRightInd w:val="0"/>
        <w:spacing w:after="0" w:line="360" w:lineRule="auto"/>
        <w:jc w:val="both"/>
        <w:rPr>
          <w:rFonts w:cs="Times New Roman"/>
          <w:b/>
          <w:bCs/>
          <w:kern w:val="2"/>
          <w:szCs w:val="21"/>
          <w:lang w:eastAsia="zh-CN"/>
        </w:rPr>
      </w:pPr>
      <w:r>
        <w:rPr>
          <w:rFonts w:cs="Times New Roman" w:hint="eastAsia"/>
          <w:b/>
          <w:bCs/>
          <w:kern w:val="2"/>
          <w:szCs w:val="21"/>
          <w:lang w:eastAsia="zh-CN"/>
        </w:rPr>
        <w:t>1.任务来源</w:t>
      </w:r>
    </w:p>
    <w:p w14:paraId="0D0B0D42" w14:textId="05ADF263" w:rsidR="00732E68" w:rsidRDefault="00000000">
      <w:pPr>
        <w:spacing w:line="360" w:lineRule="auto"/>
        <w:ind w:firstLine="432"/>
        <w:rPr>
          <w:lang w:eastAsia="zh-CN"/>
        </w:rPr>
      </w:pPr>
      <w:r>
        <w:rPr>
          <w:lang w:eastAsia="zh-CN"/>
        </w:rPr>
        <w:t>根据中关村视听产业技术创新联盟202</w:t>
      </w:r>
      <w:r>
        <w:rPr>
          <w:rFonts w:hint="eastAsia"/>
          <w:lang w:eastAsia="zh-CN"/>
        </w:rPr>
        <w:t>6</w:t>
      </w:r>
      <w:r>
        <w:rPr>
          <w:lang w:eastAsia="zh-CN"/>
        </w:rPr>
        <w:t>年标准制修订计划的安排，下达了团体标准《多模态AIGC内容评估技术 第1部分：主观评估方法规范》（</w:t>
      </w:r>
      <w:r w:rsidR="004043A8">
        <w:rPr>
          <w:rFonts w:hint="eastAsia"/>
          <w:lang w:eastAsia="zh-CN"/>
        </w:rPr>
        <w:t>项目</w:t>
      </w:r>
      <w:r w:rsidR="006C6D59">
        <w:rPr>
          <w:rFonts w:hint="eastAsia"/>
          <w:lang w:eastAsia="zh-CN"/>
        </w:rPr>
        <w:t>计划</w:t>
      </w:r>
      <w:r>
        <w:rPr>
          <w:lang w:eastAsia="zh-CN"/>
        </w:rPr>
        <w:t>号为</w:t>
      </w:r>
      <w:r>
        <w:rPr>
          <w:rFonts w:hint="eastAsia"/>
          <w:lang w:eastAsia="zh-CN"/>
        </w:rPr>
        <w:t>2026061801</w:t>
      </w:r>
      <w:r>
        <w:rPr>
          <w:lang w:eastAsia="zh-CN"/>
        </w:rPr>
        <w:t>）的制定任务。</w:t>
      </w:r>
    </w:p>
    <w:p w14:paraId="7C085C83" w14:textId="77777777" w:rsidR="00732E68" w:rsidRDefault="00000000">
      <w:pPr>
        <w:widowControl w:val="0"/>
        <w:adjustRightInd w:val="0"/>
        <w:spacing w:after="0" w:line="360" w:lineRule="auto"/>
        <w:jc w:val="both"/>
        <w:rPr>
          <w:rFonts w:cs="Times New Roman"/>
          <w:b/>
          <w:bCs/>
          <w:kern w:val="2"/>
          <w:szCs w:val="21"/>
          <w:lang w:eastAsia="zh-CN"/>
        </w:rPr>
      </w:pPr>
      <w:r>
        <w:rPr>
          <w:rFonts w:cs="Times New Roman" w:hint="eastAsia"/>
          <w:b/>
          <w:bCs/>
          <w:kern w:val="2"/>
          <w:szCs w:val="21"/>
          <w:lang w:eastAsia="zh-CN"/>
        </w:rPr>
        <w:t>2.编制组成</w:t>
      </w:r>
    </w:p>
    <w:p w14:paraId="67D20EFD" w14:textId="77777777" w:rsidR="00732E68" w:rsidRDefault="00000000">
      <w:pPr>
        <w:spacing w:line="360" w:lineRule="auto"/>
        <w:ind w:firstLine="432"/>
        <w:rPr>
          <w:lang w:eastAsia="zh-CN"/>
        </w:rPr>
      </w:pPr>
      <w:r>
        <w:rPr>
          <w:lang w:eastAsia="zh-CN"/>
        </w:rPr>
        <w:t>本标准起草组成员单位有：广东博华超高清创新中心有限公司、鹏城国家实验室、中国科学院大学、山东大学、香港城市大学、北京大学、咪咕文化科技有限公司</w:t>
      </w:r>
    </w:p>
    <w:p w14:paraId="0095F46E" w14:textId="77777777" w:rsidR="00732E68" w:rsidRDefault="00000000">
      <w:pPr>
        <w:spacing w:line="360" w:lineRule="auto"/>
        <w:ind w:firstLine="432"/>
        <w:rPr>
          <w:lang w:eastAsia="zh-CN"/>
        </w:rPr>
      </w:pPr>
      <w:r>
        <w:rPr>
          <w:lang w:eastAsia="zh-CN"/>
        </w:rPr>
        <w:t>本标准主要起草人：张世雄、张振铎、胡焕强、汪继龙、林倞、魏文应、张新峰、</w:t>
      </w:r>
      <w:r>
        <w:rPr>
          <w:rFonts w:hint="eastAsia"/>
          <w:lang w:eastAsia="zh-CN"/>
        </w:rPr>
        <w:t>刘治、李文韬、</w:t>
      </w:r>
      <w:r>
        <w:rPr>
          <w:lang w:eastAsia="zh-CN"/>
        </w:rPr>
        <w:t>张子尧、</w:t>
      </w:r>
      <w:r>
        <w:rPr>
          <w:rFonts w:hint="eastAsia"/>
          <w:lang w:eastAsia="zh-CN"/>
        </w:rPr>
        <w:t>王诗琪、</w:t>
      </w:r>
      <w:r>
        <w:rPr>
          <w:lang w:eastAsia="zh-CN"/>
        </w:rPr>
        <w:t>刘越、黄庆、赵健、马丽萌、徐嵩、李琳、张天戈、吴哲、吴益灵、王昊峰、贾川民、马思伟、韩笑、洪铭遥、林荣群、李欢洋、王诗琪、李廷孝、罗天成。</w:t>
      </w:r>
    </w:p>
    <w:p w14:paraId="13CEBE63" w14:textId="77777777" w:rsidR="00732E68" w:rsidRDefault="00000000">
      <w:pPr>
        <w:widowControl w:val="0"/>
        <w:adjustRightInd w:val="0"/>
        <w:spacing w:after="0" w:line="360" w:lineRule="auto"/>
        <w:jc w:val="both"/>
        <w:rPr>
          <w:rFonts w:cs="Times New Roman"/>
          <w:b/>
          <w:bCs/>
          <w:kern w:val="2"/>
          <w:szCs w:val="21"/>
          <w:lang w:eastAsia="zh-CN"/>
        </w:rPr>
      </w:pPr>
      <w:r>
        <w:rPr>
          <w:rFonts w:cs="Times New Roman" w:hint="eastAsia"/>
          <w:b/>
          <w:bCs/>
          <w:kern w:val="2"/>
          <w:szCs w:val="21"/>
          <w:lang w:eastAsia="zh-CN"/>
        </w:rPr>
        <w:t>3.编制背景</w:t>
      </w:r>
    </w:p>
    <w:p w14:paraId="7D6A85B3" w14:textId="77777777" w:rsidR="00732E68" w:rsidRDefault="00000000">
      <w:pPr>
        <w:spacing w:line="360" w:lineRule="auto"/>
        <w:ind w:firstLine="432"/>
        <w:rPr>
          <w:lang w:eastAsia="zh-CN"/>
        </w:rPr>
      </w:pPr>
      <w:r>
        <w:t>近年来，以生成式人工智能为代表的多模态AIGC（Artificial Intelligence Generated Content）技术快速发展，在文本、图像、视频、三维模型、数字人等内容生成领域取得了突破性进展。</w:t>
      </w:r>
      <w:r>
        <w:rPr>
          <w:lang w:eastAsia="zh-CN"/>
        </w:rPr>
        <w:t>文生图、文生视频、图生3D、数字人驱动等应用已广泛应用于媒体娱乐、工业设计、虚拟客服、教育培训、医疗健康等多个行业场景。然而，AIGC生成内容的质量参差不齐，存在视觉瑕疵、语义偏离、物理不合理、生成痕迹明显、安全合规风险等问题，严重制约了AIGC技术的产业化落地和规模化应用。</w:t>
      </w:r>
    </w:p>
    <w:p w14:paraId="7A981009" w14:textId="77777777" w:rsidR="00732E68" w:rsidRDefault="00000000">
      <w:pPr>
        <w:spacing w:line="360" w:lineRule="auto"/>
        <w:ind w:firstLine="432"/>
        <w:rPr>
          <w:lang w:eastAsia="zh-CN"/>
        </w:rPr>
      </w:pPr>
      <w:r>
        <w:rPr>
          <w:lang w:eastAsia="zh-CN"/>
        </w:rPr>
        <w:t>当前，多模态AIGC内容质量评估面临以下核心挑战：</w:t>
      </w:r>
    </w:p>
    <w:p w14:paraId="36AC0FFF" w14:textId="77777777" w:rsidR="00732E68" w:rsidRDefault="00000000">
      <w:pPr>
        <w:ind w:firstLine="432"/>
        <w:rPr>
          <w:lang w:eastAsia="zh-CN"/>
        </w:rPr>
      </w:pPr>
      <w:r>
        <w:rPr>
          <w:lang w:eastAsia="zh-CN"/>
        </w:rPr>
        <w:lastRenderedPageBreak/>
        <w:t>1. 评估维度复杂多样：AIGC生成内容涵盖图像、视频、三维模型、数字人等多种模态，各模态的评估维度差异显著，缺乏统一的评估框架和指标体系；</w:t>
      </w:r>
    </w:p>
    <w:p w14:paraId="01EE84AE" w14:textId="77777777" w:rsidR="00732E68" w:rsidRDefault="00000000">
      <w:pPr>
        <w:ind w:firstLine="432"/>
        <w:rPr>
          <w:lang w:eastAsia="zh-CN"/>
        </w:rPr>
      </w:pPr>
      <w:r>
        <w:rPr>
          <w:lang w:eastAsia="zh-CN"/>
        </w:rPr>
        <w:t>2. 主观评价标准缺失：现有国际标准（如ITU-R BT.500、ITU-T P.910）主要针对传统多媒体内容的质量评价，未能覆盖AIGC生成内容特有的语义一致性、物理合理性、生成痕迹检测、身份一致性等评估维度；</w:t>
      </w:r>
    </w:p>
    <w:p w14:paraId="3664AEED" w14:textId="77777777" w:rsidR="00732E68" w:rsidRDefault="00000000">
      <w:pPr>
        <w:ind w:firstLine="432"/>
        <w:rPr>
          <w:lang w:eastAsia="zh-CN"/>
        </w:rPr>
      </w:pPr>
      <w:r>
        <w:rPr>
          <w:lang w:eastAsia="zh-CN"/>
        </w:rPr>
        <w:t>3. 评估方法不统一：不同研究机构和企业采用各自的评估流程、评分量表和环境配置，导致评估结果缺乏可比性和可重复性，难以支撑模型选型、系统验收和算法迭代；</w:t>
      </w:r>
    </w:p>
    <w:p w14:paraId="4F9777EA" w14:textId="77777777" w:rsidR="00732E68" w:rsidRDefault="00000000">
      <w:pPr>
        <w:ind w:firstLine="432"/>
        <w:rPr>
          <w:lang w:eastAsia="zh-CN"/>
        </w:rPr>
      </w:pPr>
      <w:r>
        <w:rPr>
          <w:lang w:eastAsia="zh-CN"/>
        </w:rPr>
        <w:t>4. 安全合规评估不足：AIGC内容可能存在数据偏见、文化敏感、伦理风险等问题，现有评估体系缺乏针对性的安全合规评估方法和量化指标。</w:t>
      </w:r>
    </w:p>
    <w:p w14:paraId="00E0373C" w14:textId="77777777" w:rsidR="00732E68" w:rsidRDefault="00000000">
      <w:pPr>
        <w:spacing w:line="360" w:lineRule="auto"/>
        <w:ind w:firstLine="432"/>
        <w:rPr>
          <w:lang w:eastAsia="zh-CN"/>
        </w:rPr>
      </w:pPr>
      <w:r>
        <w:rPr>
          <w:lang w:eastAsia="zh-CN"/>
        </w:rPr>
        <w:t>因此，为了加快多模态AIGC技术的成熟和规范化，提升AIGC的应用可靠性以及安全性，以及对多模态AIGC内容的高效压缩和传输，节省存储和带宽资源，从而推动整个AI产业的发展和应用，面向以上问题，急需制定多模态AIGC模型和评估的标准化需求。为此，AITISA 2024年8月全会，输出了AIN1790《多模态内容生成模型及评估标准需求V1.0》，开始筹备多模态内容生成标准。</w:t>
      </w:r>
    </w:p>
    <w:p w14:paraId="34B3A980" w14:textId="77777777" w:rsidR="00732E68" w:rsidRDefault="00000000">
      <w:pPr>
        <w:spacing w:line="360" w:lineRule="auto"/>
        <w:ind w:firstLine="432"/>
        <w:rPr>
          <w:lang w:eastAsia="zh-CN"/>
        </w:rPr>
      </w:pPr>
      <w:r>
        <w:rPr>
          <w:lang w:eastAsia="zh-CN"/>
        </w:rPr>
        <w:t>本标准作为T/AI XXX《多模态AIGC内容评估技术》系列标准的第1部分，聚焦主观评估方法规范，旨在建立一套科学、统一、可复现的多模态AIGC内容主观质量评估体系，为后续客观评估方法、压缩传输标准等提供基础支撑。</w:t>
      </w:r>
    </w:p>
    <w:p w14:paraId="6B7A6FE3" w14:textId="77777777" w:rsidR="00732E68" w:rsidRDefault="00000000">
      <w:pPr>
        <w:widowControl w:val="0"/>
        <w:adjustRightInd w:val="0"/>
        <w:spacing w:after="0" w:line="360" w:lineRule="auto"/>
        <w:jc w:val="both"/>
        <w:rPr>
          <w:rFonts w:cs="Times New Roman"/>
          <w:b/>
          <w:bCs/>
          <w:kern w:val="2"/>
          <w:szCs w:val="21"/>
          <w:lang w:eastAsia="zh-CN"/>
        </w:rPr>
      </w:pPr>
      <w:r>
        <w:rPr>
          <w:rFonts w:cs="Times New Roman" w:hint="eastAsia"/>
          <w:b/>
          <w:bCs/>
          <w:kern w:val="2"/>
          <w:szCs w:val="21"/>
          <w:lang w:eastAsia="zh-CN"/>
        </w:rPr>
        <w:t>4.编制过程</w:t>
      </w:r>
    </w:p>
    <w:p w14:paraId="53233B62" w14:textId="77777777" w:rsidR="00732E68" w:rsidRDefault="00000000">
      <w:pPr>
        <w:spacing w:line="360" w:lineRule="auto"/>
        <w:ind w:firstLine="432"/>
        <w:rPr>
          <w:lang w:eastAsia="zh-CN"/>
        </w:rPr>
      </w:pPr>
      <w:r>
        <w:rPr>
          <w:lang w:eastAsia="zh-CN"/>
        </w:rPr>
        <w:t>2024年6月-8月，由广东博华超高清创新中心有限公司牵头的标准起草小组深入调研了国内外关于AIGC内容质量评价的技术现状，重点研究了ITU-R BT.500-14《电视图像质量的主观评价方法》、ITU-T P.910《多媒体应用的视频质量主观评价方法》以及IEEE 1547.1等国际主流标准。调研发现，现有标准主要针对传统多媒体内容的保真度评价，难以有效覆盖AIGC生成内容在语义一致性、物理合理性、生成痕迹检测、身份一致性等维度的评估需求。</w:t>
      </w:r>
    </w:p>
    <w:p w14:paraId="09A9EDA8" w14:textId="77777777" w:rsidR="00732E68" w:rsidRDefault="00000000">
      <w:pPr>
        <w:spacing w:line="360" w:lineRule="auto"/>
        <w:ind w:firstLine="432"/>
        <w:rPr>
          <w:lang w:eastAsia="zh-CN"/>
        </w:rPr>
      </w:pPr>
      <w:r>
        <w:rPr>
          <w:lang w:eastAsia="zh-CN"/>
        </w:rPr>
        <w:t>2024年8月，在AITISA 2024年8月全会上，起草小组提交了《多模态内容生成模型及评估标准需求V1.0》（AIN1790）。与需求组专家进行了联席讨论，重</w:t>
      </w:r>
      <w:r>
        <w:rPr>
          <w:lang w:eastAsia="zh-CN"/>
        </w:rPr>
        <w:lastRenderedPageBreak/>
        <w:t>点论证了多模态AIGC内容评估标准在产业发展中的必要性。会议决定采纳该需求，并启动《多模态AIGC内容评估技术》系列标准的制定工作。</w:t>
      </w:r>
    </w:p>
    <w:p w14:paraId="570EEB58" w14:textId="77777777" w:rsidR="00732E68" w:rsidRDefault="00000000">
      <w:pPr>
        <w:spacing w:line="360" w:lineRule="auto"/>
        <w:ind w:firstLine="432"/>
        <w:rPr>
          <w:lang w:eastAsia="zh-CN"/>
        </w:rPr>
      </w:pPr>
      <w:r>
        <w:rPr>
          <w:lang w:eastAsia="zh-CN"/>
        </w:rPr>
        <w:t>2024年9月-12月，标准起草小组通过多次工作会议，对多模态AIGC内容的评估对象分类、评估维度体系、评分量表设计进行了详细规定。起草小组确立了以"通用评估维度+专项评估维度"为核心的技术路线，并完成了《多模态AIGC内容评估技术 第1部分：主观评估方法规范》标准草案初稿的编写。</w:t>
      </w:r>
    </w:p>
    <w:p w14:paraId="72677A57" w14:textId="77777777" w:rsidR="00732E68" w:rsidRDefault="00000000">
      <w:pPr>
        <w:spacing w:line="360" w:lineRule="auto"/>
        <w:ind w:firstLine="432"/>
        <w:rPr>
          <w:lang w:eastAsia="zh-CN"/>
        </w:rPr>
      </w:pPr>
      <w:r>
        <w:rPr>
          <w:lang w:eastAsia="zh-CN"/>
        </w:rPr>
        <w:t>2025年3月，在AITISA 2025年3月会议上，起草小组汇报了草案初稿。与会专家针对多模态评估的特殊性进行了深度讨论，达成以下共识：1）评估对象应覆盖图像、视频、三维内容、数字人四大模态；2）评估维度应区分通用维度（视觉质量、语义一致性、物理合理性、安全合规）和专项维度；3）评分标度统一采用5级绝对评价标度（5-point ACR/Likert Scale），确保与国际标准的兼容性；4）引入多模态大语言模型（MLLM）作为辅助评估工具，提升评估效率和一致性。会议要求起草小组开展实验验证并提交实验报告。</w:t>
      </w:r>
    </w:p>
    <w:p w14:paraId="06CD409D" w14:textId="77777777" w:rsidR="00732E68" w:rsidRDefault="00000000">
      <w:pPr>
        <w:spacing w:line="360" w:lineRule="auto"/>
        <w:ind w:firstLine="432"/>
        <w:rPr>
          <w:lang w:eastAsia="zh-CN"/>
        </w:rPr>
      </w:pPr>
      <w:r>
        <w:rPr>
          <w:lang w:eastAsia="zh-CN"/>
        </w:rPr>
        <w:t>2025年3月-</w:t>
      </w:r>
      <w:r>
        <w:rPr>
          <w:rFonts w:hint="eastAsia"/>
          <w:lang w:eastAsia="zh-CN"/>
        </w:rPr>
        <w:t>12</w:t>
      </w:r>
      <w:r>
        <w:rPr>
          <w:lang w:eastAsia="zh-CN"/>
        </w:rPr>
        <w:t>月，起草小组在中国科学院大学、鹏城国家实验室、山东大学开展了主观实验，测试涵盖文生图、文生视频、图生3D、文本驱动数字人等四大模态的AIGC生成内容。</w:t>
      </w:r>
    </w:p>
    <w:p w14:paraId="0B3474D2" w14:textId="77777777" w:rsidR="00732E68" w:rsidRDefault="00000000">
      <w:pPr>
        <w:spacing w:line="360" w:lineRule="auto"/>
        <w:ind w:firstLine="432"/>
        <w:rPr>
          <w:lang w:eastAsia="zh-CN"/>
        </w:rPr>
      </w:pPr>
      <w:r>
        <w:rPr>
          <w:lang w:eastAsia="zh-CN"/>
        </w:rPr>
        <w:t>202</w:t>
      </w:r>
      <w:r>
        <w:rPr>
          <w:rFonts w:hint="eastAsia"/>
          <w:lang w:eastAsia="zh-CN"/>
        </w:rPr>
        <w:t>6</w:t>
      </w:r>
      <w:r>
        <w:rPr>
          <w:lang w:eastAsia="zh-CN"/>
        </w:rPr>
        <w:t>年6月，在AITISA 202年6月乌鲁木齐会议上，会议进一步明确了MLLM辅助评估的校准流程，并规范了评价员资质要求和环境配置参数。会议决定输出《多模态AIGC内容评估技术 第1部分：主观评估方法规范》CD 3.0。</w:t>
      </w:r>
    </w:p>
    <w:p w14:paraId="76724F16" w14:textId="77777777" w:rsidR="00732E68" w:rsidRDefault="00000000">
      <w:pPr>
        <w:spacing w:line="360" w:lineRule="auto"/>
        <w:ind w:firstLine="432"/>
        <w:rPr>
          <w:lang w:eastAsia="zh-CN"/>
        </w:rPr>
      </w:pPr>
      <w:r>
        <w:rPr>
          <w:lang w:eastAsia="zh-CN"/>
        </w:rPr>
        <w:t>2026年</w:t>
      </w:r>
      <w:r>
        <w:rPr>
          <w:rFonts w:hint="eastAsia"/>
          <w:lang w:eastAsia="zh-CN"/>
        </w:rPr>
        <w:t>6</w:t>
      </w:r>
      <w:r>
        <w:rPr>
          <w:lang w:eastAsia="zh-CN"/>
        </w:rPr>
        <w:t>月，中关村视听产业技术创新联盟正式下达了团体标准制定计划，批准《多模态AIGC内容评估技术 第1部分：主观评估方法规范》正式立项。</w:t>
      </w:r>
    </w:p>
    <w:p w14:paraId="1A51050B" w14:textId="77777777" w:rsidR="00732E68" w:rsidRDefault="00000000">
      <w:pPr>
        <w:spacing w:line="360" w:lineRule="auto"/>
        <w:ind w:firstLine="432"/>
        <w:rPr>
          <w:lang w:eastAsia="zh-CN"/>
        </w:rPr>
      </w:pPr>
      <w:r>
        <w:rPr>
          <w:lang w:eastAsia="zh-CN"/>
        </w:rPr>
        <w:t>在此基础上，起草小组于2026年6月的AITISA会议上提交了标准的征求意见稿。专家组针对三维生成内容评估工具与环境配置要求的普适性、数字人交互实时性测试的网络带宽要求等技术细节进行了深入研讨，并达成一致意见。会议最终决</w:t>
      </w:r>
      <w:r>
        <w:rPr>
          <w:lang w:eastAsia="zh-CN"/>
        </w:rPr>
        <w:lastRenderedPageBreak/>
        <w:t>定，采纳修改后的文本并正式输出《多模态AIGC内容评估技术 第1部分：主观评估方法规范》征求意见稿。</w:t>
      </w:r>
    </w:p>
    <w:p w14:paraId="313B28D3" w14:textId="77777777" w:rsidR="00732E68" w:rsidRDefault="00000000">
      <w:pPr>
        <w:pStyle w:val="21"/>
        <w:rPr>
          <w:color w:val="auto"/>
        </w:rPr>
      </w:pPr>
      <w:r>
        <w:rPr>
          <w:rFonts w:ascii="黑体" w:eastAsia="黑体" w:hAnsi="黑体"/>
          <w:color w:val="auto"/>
        </w:rPr>
        <w:t>（五）主要起草人所做的工作</w:t>
      </w:r>
    </w:p>
    <w:p w14:paraId="4599F879" w14:textId="77777777" w:rsidR="00732E68" w:rsidRDefault="00000000">
      <w:pPr>
        <w:spacing w:line="360" w:lineRule="auto"/>
        <w:ind w:firstLine="432"/>
        <w:rPr>
          <w:lang w:eastAsia="zh-CN"/>
        </w:rPr>
      </w:pPr>
      <w:r>
        <w:rPr>
          <w:lang w:eastAsia="zh-CN"/>
        </w:rPr>
        <w:t>广东博华超高清创新中心有限公司：主要负责项目的组织与实施、标准的起草、标准的编写、意见的征集与修改工作。</w:t>
      </w:r>
    </w:p>
    <w:p w14:paraId="3EDE2149" w14:textId="77777777" w:rsidR="00732E68" w:rsidRDefault="00000000">
      <w:pPr>
        <w:spacing w:line="360" w:lineRule="auto"/>
        <w:ind w:firstLine="432"/>
        <w:rPr>
          <w:lang w:eastAsia="zh-CN"/>
        </w:rPr>
      </w:pPr>
      <w:r>
        <w:rPr>
          <w:lang w:eastAsia="zh-CN"/>
        </w:rPr>
        <w:t>鹏城国家实验室：主要负责MLLM辅助评估机制的技术方案设计、实验验证及数据分析。</w:t>
      </w:r>
    </w:p>
    <w:p w14:paraId="6AAFB380" w14:textId="77777777" w:rsidR="00732E68" w:rsidRDefault="00000000">
      <w:pPr>
        <w:spacing w:line="360" w:lineRule="auto"/>
        <w:ind w:firstLine="432"/>
        <w:rPr>
          <w:lang w:eastAsia="zh-CN"/>
        </w:rPr>
      </w:pPr>
      <w:r>
        <w:rPr>
          <w:lang w:eastAsia="zh-CN"/>
        </w:rPr>
        <w:t>中国科学院大学：主要负责主观实验的设计与执行、评价员培训体系构建、实验数据处理和统计分析方法研究。</w:t>
      </w:r>
    </w:p>
    <w:p w14:paraId="7186285D" w14:textId="77777777" w:rsidR="00732E68" w:rsidRDefault="00000000">
      <w:pPr>
        <w:spacing w:line="360" w:lineRule="auto"/>
        <w:ind w:firstLine="432"/>
        <w:rPr>
          <w:lang w:eastAsia="zh-CN"/>
        </w:rPr>
      </w:pPr>
      <w:r>
        <w:rPr>
          <w:lang w:eastAsia="zh-CN"/>
        </w:rPr>
        <w:t>山东大学：主要负责三维生成内容评估维度和专项量表的设计与验证。</w:t>
      </w:r>
    </w:p>
    <w:p w14:paraId="42C76315" w14:textId="77777777" w:rsidR="00732E68" w:rsidRDefault="00000000">
      <w:pPr>
        <w:spacing w:line="360" w:lineRule="auto"/>
        <w:ind w:firstLine="432"/>
        <w:rPr>
          <w:lang w:eastAsia="zh-CN"/>
        </w:rPr>
      </w:pPr>
      <w:r>
        <w:rPr>
          <w:lang w:eastAsia="zh-CN"/>
        </w:rPr>
        <w:t>香港城市大学：主要负责数字人内容评估维度和交互质量评估方法的研究。</w:t>
      </w:r>
    </w:p>
    <w:p w14:paraId="7630FAA9" w14:textId="77777777" w:rsidR="00732E68" w:rsidRDefault="00000000">
      <w:pPr>
        <w:spacing w:line="360" w:lineRule="auto"/>
        <w:ind w:firstLine="432"/>
        <w:rPr>
          <w:lang w:eastAsia="zh-CN"/>
        </w:rPr>
      </w:pPr>
      <w:r>
        <w:rPr>
          <w:lang w:eastAsia="zh-CN"/>
        </w:rPr>
        <w:t>北京大学：</w:t>
      </w:r>
      <w:r>
        <w:rPr>
          <w:rFonts w:hint="eastAsia"/>
          <w:lang w:eastAsia="zh-CN"/>
        </w:rPr>
        <w:t>主要负责数字人内容评估的交叉验证实验及产业化应用论证。</w:t>
      </w:r>
    </w:p>
    <w:p w14:paraId="500D2406" w14:textId="77777777" w:rsidR="00732E68" w:rsidRDefault="00000000">
      <w:pPr>
        <w:spacing w:line="360" w:lineRule="auto"/>
        <w:ind w:firstLine="432"/>
        <w:rPr>
          <w:lang w:eastAsia="zh-CN"/>
        </w:rPr>
      </w:pPr>
      <w:r>
        <w:rPr>
          <w:lang w:eastAsia="zh-CN"/>
        </w:rPr>
        <w:t>咪咕文化科技有限公司：主要负责标准文本的规范性审核、术语定义的统一性校验。</w:t>
      </w:r>
    </w:p>
    <w:p w14:paraId="232BD31F" w14:textId="77777777" w:rsidR="00732E68" w:rsidRDefault="00000000">
      <w:pPr>
        <w:spacing w:line="360" w:lineRule="auto"/>
        <w:ind w:firstLine="432"/>
        <w:rPr>
          <w:lang w:eastAsia="zh-CN"/>
        </w:rPr>
      </w:pPr>
      <w:r>
        <w:rPr>
          <w:lang w:eastAsia="zh-CN"/>
        </w:rPr>
        <w:t>其他单位：标准技术内容的讨论、意见的征集与修改、标准的编写等。</w:t>
      </w:r>
    </w:p>
    <w:p w14:paraId="634F170A" w14:textId="77777777" w:rsidR="00732E68" w:rsidRDefault="00000000">
      <w:pPr>
        <w:pStyle w:val="1"/>
        <w:rPr>
          <w:color w:val="auto"/>
          <w:lang w:eastAsia="zh-CN"/>
        </w:rPr>
      </w:pPr>
      <w:r>
        <w:rPr>
          <w:rFonts w:ascii="黑体" w:eastAsia="黑体" w:hAnsi="黑体"/>
          <w:color w:val="auto"/>
          <w:lang w:eastAsia="zh-CN"/>
        </w:rPr>
        <w:t>二、标准编制原则和确定主要内容的论据及解决的主要问题</w:t>
      </w:r>
    </w:p>
    <w:p w14:paraId="6C33BF1C" w14:textId="77777777" w:rsidR="00732E68" w:rsidRDefault="00000000">
      <w:pPr>
        <w:widowControl w:val="0"/>
        <w:adjustRightInd w:val="0"/>
        <w:spacing w:after="0" w:line="360" w:lineRule="auto"/>
        <w:jc w:val="both"/>
        <w:rPr>
          <w:rFonts w:cs="Times New Roman"/>
          <w:b/>
          <w:bCs/>
          <w:kern w:val="2"/>
          <w:szCs w:val="21"/>
          <w:lang w:eastAsia="zh-CN"/>
        </w:rPr>
      </w:pPr>
      <w:r>
        <w:rPr>
          <w:rFonts w:cs="Times New Roman" w:hint="eastAsia"/>
          <w:b/>
          <w:bCs/>
          <w:kern w:val="2"/>
          <w:szCs w:val="21"/>
          <w:lang w:eastAsia="zh-CN"/>
        </w:rPr>
        <w:t>1.本标准的编制原则</w:t>
      </w:r>
    </w:p>
    <w:p w14:paraId="18378544" w14:textId="77777777" w:rsidR="00732E68" w:rsidRDefault="00000000">
      <w:pPr>
        <w:spacing w:line="360" w:lineRule="auto"/>
        <w:ind w:firstLine="432"/>
        <w:rPr>
          <w:lang w:eastAsia="zh-CN"/>
        </w:rPr>
      </w:pPr>
      <w:r>
        <w:rPr>
          <w:lang w:eastAsia="zh-CN"/>
        </w:rPr>
        <w:t>本标准的内容框架和主要技术内容与国际先进标准及行业通行规范保持一致，在标准编制过程中的工作重点和技术难点主要体现在多模态评估维度的确立、主观测试流程的规范化以及相关术语的定义。技术指标确定与术语命名的依据主要包括以下4个方面：</w:t>
      </w:r>
    </w:p>
    <w:p w14:paraId="2500515B" w14:textId="77777777" w:rsidR="00732E68" w:rsidRDefault="00000000">
      <w:pPr>
        <w:ind w:firstLine="432"/>
        <w:rPr>
          <w:lang w:eastAsia="zh-CN"/>
        </w:rPr>
      </w:pPr>
      <w:r>
        <w:rPr>
          <w:lang w:eastAsia="zh-CN"/>
        </w:rPr>
        <w:t>1</w:t>
      </w:r>
      <w:r>
        <w:rPr>
          <w:rFonts w:hint="eastAsia"/>
          <w:lang w:eastAsia="zh-CN"/>
        </w:rPr>
        <w:t>)</w:t>
      </w:r>
      <w:r>
        <w:rPr>
          <w:lang w:eastAsia="zh-CN"/>
        </w:rPr>
        <w:t>. 与国际通用标准体系保持高度协调：本标准在制定过程中充分参考了ITU-R BT.500-14《电视图像质量的主观评价方法》、ITU-T P.910《多媒体应用的</w:t>
      </w:r>
      <w:r>
        <w:rPr>
          <w:lang w:eastAsia="zh-CN"/>
        </w:rPr>
        <w:lastRenderedPageBreak/>
        <w:t>视频质量主观评价方法》等国际主流标准，确保主观评价的基础流程（如评价员要求、环境控制、样本呈现等）与国际通行准则的一致性；</w:t>
      </w:r>
    </w:p>
    <w:p w14:paraId="183DC6C2" w14:textId="77777777" w:rsidR="00732E68" w:rsidRDefault="00000000">
      <w:pPr>
        <w:ind w:firstLine="432"/>
        <w:rPr>
          <w:lang w:eastAsia="zh-CN"/>
        </w:rPr>
      </w:pPr>
      <w:r>
        <w:rPr>
          <w:lang w:eastAsia="zh-CN"/>
        </w:rPr>
        <w:t>2</w:t>
      </w:r>
      <w:r>
        <w:rPr>
          <w:rFonts w:hint="eastAsia"/>
          <w:lang w:eastAsia="zh-CN"/>
        </w:rPr>
        <w:t>)</w:t>
      </w:r>
      <w:r>
        <w:rPr>
          <w:lang w:eastAsia="zh-CN"/>
        </w:rPr>
        <w:t>. 保持AITISA系列标准内部的技术统一性：AITISA工作组已发布了多项关于人工智能和音视频编解码的规范，本标准在术语命名和技术描述上，尽量与现有标准中关于多模态内容、生成式人工智能等相关概念保持术语的协调性和一致性，避免技术理解上的歧义；</w:t>
      </w:r>
    </w:p>
    <w:p w14:paraId="14FECAE2" w14:textId="77777777" w:rsidR="00732E68" w:rsidRDefault="00000000">
      <w:pPr>
        <w:ind w:firstLine="432"/>
        <w:rPr>
          <w:lang w:eastAsia="zh-CN"/>
        </w:rPr>
      </w:pPr>
      <w:r>
        <w:rPr>
          <w:lang w:eastAsia="zh-CN"/>
        </w:rPr>
        <w:t>3</w:t>
      </w:r>
      <w:r>
        <w:rPr>
          <w:rFonts w:hint="eastAsia"/>
          <w:lang w:eastAsia="zh-CN"/>
        </w:rPr>
        <w:t>)</w:t>
      </w:r>
      <w:r>
        <w:rPr>
          <w:lang w:eastAsia="zh-CN"/>
        </w:rPr>
        <w:t>. 兼顾特定场景评价准则的继承性：针对AIGC生成内容的特殊性，本项目充分考虑了术语在行业内的继承性，参考了ISO/IEC 14496-16《信息技术 视听对象编码 第16部分：动画框架扩展（AFX）》等标准，并在评估维度上进行了科学延伸，以确保评价体系在不同生成模态下的逻辑连贯；</w:t>
      </w:r>
    </w:p>
    <w:p w14:paraId="0DBA01BE" w14:textId="77777777" w:rsidR="00732E68" w:rsidRDefault="00000000">
      <w:pPr>
        <w:ind w:firstLine="432"/>
        <w:rPr>
          <w:lang w:eastAsia="zh-CN"/>
        </w:rPr>
      </w:pPr>
      <w:r>
        <w:rPr>
          <w:lang w:eastAsia="zh-CN"/>
        </w:rPr>
        <w:t>4</w:t>
      </w:r>
      <w:r>
        <w:rPr>
          <w:rFonts w:hint="eastAsia"/>
          <w:lang w:eastAsia="zh-CN"/>
        </w:rPr>
        <w:t>)</w:t>
      </w:r>
      <w:r>
        <w:rPr>
          <w:lang w:eastAsia="zh-CN"/>
        </w:rPr>
        <w:t>. 针对创新评估方法的科学性定义：对于标准中引入的"生成痕迹"、"身份一致性"、"MLLM辅助评估"等新术语，以及其他未在既有已发布标准中出现的专业术语，通过多次会议，联合行业顶尖企业、高校及科研院所的专家共同给出了科学、客观且易于理解的术语定义。</w:t>
      </w:r>
    </w:p>
    <w:p w14:paraId="33E18DFF" w14:textId="77777777" w:rsidR="00732E68" w:rsidRDefault="00000000">
      <w:pPr>
        <w:pStyle w:val="21"/>
        <w:rPr>
          <w:color w:val="auto"/>
          <w:lang w:eastAsia="zh-CN"/>
        </w:rPr>
      </w:pPr>
      <w:r>
        <w:rPr>
          <w:rFonts w:ascii="黑体" w:eastAsia="黑体" w:hAnsi="黑体"/>
          <w:color w:val="auto"/>
          <w:lang w:eastAsia="zh-CN"/>
        </w:rPr>
        <w:t>（二）确定主要内容的论据</w:t>
      </w:r>
    </w:p>
    <w:p w14:paraId="6F113D69" w14:textId="77777777" w:rsidR="00732E68" w:rsidRDefault="00000000">
      <w:pPr>
        <w:spacing w:line="360" w:lineRule="auto"/>
        <w:ind w:firstLine="432"/>
        <w:rPr>
          <w:lang w:eastAsia="zh-CN"/>
        </w:rPr>
      </w:pPr>
      <w:r>
        <w:rPr>
          <w:lang w:eastAsia="zh-CN"/>
        </w:rPr>
        <w:t>本标准是经过多次内部研讨，以科学严谨的态度面对各方专家意见，对技术指标和评价流程进行反复商议和修改，从而逐渐优化形成的。</w:t>
      </w:r>
    </w:p>
    <w:p w14:paraId="036DD3D1" w14:textId="77777777" w:rsidR="00732E68" w:rsidRDefault="00000000">
      <w:pPr>
        <w:spacing w:line="360" w:lineRule="auto"/>
        <w:ind w:firstLine="432"/>
        <w:rPr>
          <w:lang w:eastAsia="zh-CN"/>
        </w:rPr>
      </w:pPr>
      <w:r>
        <w:rPr>
          <w:lang w:eastAsia="zh-CN"/>
        </w:rPr>
        <w:t>在AITISA 2024年8月全会及后续会议的内部研讨中，研究了多模态AIGC内容评估的技术需求，重点讨论了评估对象分类的科学性（图像、视频、三维、数字人四大模态），以及通用评估维度与专项评估维度相结合的技术路线，确立了以主观评估方法规范为核心的标准架构，达成了标准初步架构的一致性。</w:t>
      </w:r>
    </w:p>
    <w:p w14:paraId="2763B758" w14:textId="77777777" w:rsidR="00732E68" w:rsidRDefault="00000000">
      <w:pPr>
        <w:spacing w:line="360" w:lineRule="auto"/>
        <w:ind w:firstLine="432"/>
        <w:rPr>
          <w:lang w:eastAsia="zh-CN"/>
        </w:rPr>
      </w:pPr>
      <w:r>
        <w:rPr>
          <w:lang w:eastAsia="zh-CN"/>
        </w:rPr>
        <w:t>在后续的专项技术论证中，起草组研究了主观实验的验证计划，通过中国科学院大学</w:t>
      </w:r>
      <w:r>
        <w:rPr>
          <w:rFonts w:hint="eastAsia"/>
          <w:lang w:eastAsia="zh-CN"/>
        </w:rPr>
        <w:t>、</w:t>
      </w:r>
      <w:r>
        <w:rPr>
          <w:lang w:eastAsia="zh-CN"/>
        </w:rPr>
        <w:t>山东大学的三组独立实验数据，验证了评价方法在文生图、文生视频、图生3D、文本驱动数字人等任务下的稳定性，各模态相关性指标（PLCC均高于0.92）为标准中测试步骤的合理性提供了坚实的数据支撑。</w:t>
      </w:r>
    </w:p>
    <w:p w14:paraId="377D6A36" w14:textId="77777777" w:rsidR="00732E68" w:rsidRDefault="00000000">
      <w:pPr>
        <w:spacing w:line="360" w:lineRule="auto"/>
        <w:ind w:firstLine="432"/>
        <w:rPr>
          <w:lang w:eastAsia="zh-CN"/>
        </w:rPr>
      </w:pPr>
      <w:r>
        <w:rPr>
          <w:lang w:eastAsia="zh-CN"/>
        </w:rPr>
        <w:t>在AITISA 2025年6月乌鲁木齐会议及后续会议的研讨中，讨论重点转向了MLLM辅助评估机制的严谨性，对辅助评估范围、预打分流程、人工-MLLM对齐分析方法进行了细致规范。在AITISA 2025年9月至2026年6月的内部审议中，研究</w:t>
      </w:r>
      <w:r>
        <w:rPr>
          <w:lang w:eastAsia="zh-CN"/>
        </w:rPr>
        <w:lastRenderedPageBreak/>
        <w:t>了标准文本的规范性和表述的泛用性，讨论了附录中权重配置建议的适用性、三维评估工具要求的普适性等技术细节。经过专家现场讨论，最终确保了标准在技术逻辑、评估方法及设备要求等核心内容上的一致性与先进性，形成了目前的征求意见稿。</w:t>
      </w:r>
    </w:p>
    <w:p w14:paraId="616058C8" w14:textId="77777777" w:rsidR="00732E68" w:rsidRDefault="00000000">
      <w:pPr>
        <w:pStyle w:val="21"/>
        <w:rPr>
          <w:color w:val="auto"/>
          <w:lang w:eastAsia="zh-CN"/>
        </w:rPr>
      </w:pPr>
      <w:r>
        <w:rPr>
          <w:rFonts w:ascii="黑体" w:eastAsia="黑体" w:hAnsi="黑体"/>
          <w:color w:val="auto"/>
          <w:lang w:eastAsia="zh-CN"/>
        </w:rPr>
        <w:t>（三）解决的主要问题</w:t>
      </w:r>
    </w:p>
    <w:p w14:paraId="483ACF37" w14:textId="77777777" w:rsidR="00732E68" w:rsidRDefault="00000000">
      <w:pPr>
        <w:spacing w:line="360" w:lineRule="auto"/>
        <w:ind w:firstLine="432"/>
        <w:rPr>
          <w:lang w:eastAsia="zh-CN"/>
        </w:rPr>
      </w:pPr>
      <w:r>
        <w:rPr>
          <w:lang w:eastAsia="zh-CN"/>
        </w:rPr>
        <w:t>本标准主要解决了多模态AIGC内容在质量评估过程中，现有评价体系难以全面覆盖和量化"语义一致性"、"物理合理性"、"生成痕迹"、"身份一致性"等AIGC特有质量属性的核心痛点。针对传统主观评价方法在评估AIGC生成内容时存在的评估维度单一、模态覆盖不全、评分标准不统一等问题，本标准通过引入"通用维度+专项维度"的双层评估框架、5级绝对评价标度体系以及MLLM辅助验证机制，确立了一套科学的多模态AIGC主观评估流程。填补了多模态AIGC内容质量评估领域的标准空白，为AIGC技术的算法迭代、模型选型、系统验收及用户满意度提升提供了关键的技术准则和量化依据。</w:t>
      </w:r>
    </w:p>
    <w:p w14:paraId="132C53AA" w14:textId="77777777" w:rsidR="00732E68" w:rsidRDefault="00000000">
      <w:pPr>
        <w:pStyle w:val="21"/>
        <w:rPr>
          <w:color w:val="auto"/>
          <w:lang w:eastAsia="zh-CN"/>
        </w:rPr>
      </w:pPr>
      <w:r>
        <w:rPr>
          <w:rFonts w:ascii="黑体" w:eastAsia="黑体" w:hAnsi="黑体"/>
          <w:color w:val="auto"/>
          <w:lang w:eastAsia="zh-CN"/>
        </w:rPr>
        <w:t>（四）有关技术问题说明</w:t>
      </w:r>
    </w:p>
    <w:p w14:paraId="26925CB4" w14:textId="77777777" w:rsidR="00732E68" w:rsidRDefault="00000000">
      <w:pPr>
        <w:spacing w:line="360" w:lineRule="auto"/>
        <w:ind w:firstLine="432"/>
        <w:rPr>
          <w:lang w:eastAsia="zh-CN"/>
        </w:rPr>
      </w:pPr>
      <w:r>
        <w:rPr>
          <w:lang w:eastAsia="zh-CN"/>
        </w:rPr>
        <w:t>经工作组仔细研究并经多次征求意见会议中与专家的讨论，涉及到对标准文稿的修订内容如下：</w:t>
      </w:r>
      <w:r>
        <w:rPr>
          <w:rFonts w:hint="eastAsia"/>
          <w:lang w:eastAsia="zh-CN"/>
        </w:rPr>
        <w:t>本次针对文档多项条款内容开展精细化修订优化，主要聚焦参数模糊、标准缺失、表述笼统、流程不完善、边界不清晰等问题完成补充与修正，具体优化内容如下：在6.1评估环境要求章节，针对显示设备仅笼统提及“专业级监视器或高质量显示器、无具体参数标准”的问题，补充明确设备硬性参数要求，规定设备色域覆盖不低于sRGB，亮度不低于250cd/m²，分辨率需可无损显示被测内容。在6.2评价员资质章节，针对原有仅要求评价员视力和听觉正常、未明确色觉判定标准的问题，新增色觉检测要求，明确评价员需通过石原氏色盲检测或同等测试，具备正常色觉能力。在7.1语义与内容一致性量表中，针对5分评级原描述“语义完全匹配”未界定关键元素范围的问题，优化评级描述，修订为“所有关键元素、动作、风格均准确体现，完全吻合”，明确评分判定依据。在7.4.3多视角一致性量表中，针对4分评级原“绝大多数视角一致”表述模糊、判定标准不统一的问题，将其修改为“仅在极端视角有轻微瑕疵”，量化细化评级标准。在8.3.3</w:t>
      </w:r>
      <w:r>
        <w:rPr>
          <w:rFonts w:hint="eastAsia"/>
          <w:lang w:eastAsia="zh-CN"/>
        </w:rPr>
        <w:lastRenderedPageBreak/>
        <w:t>分模态评估流程章节，一方面针对三维评估流程仅提及“交互式视角切换”、未规范标准观察视角的问题，补充评估视角要求，明确评价员需从前、后、左、右、顶、底至少6个标准视角观察模型；另一方面针对数字人评估流程无阶段划分、评估结构缺乏递进性的问题，新增递进式评估体系，明确按照“静态形象→动态驱动→交互对话”三阶段开展递进式评估，各阶段独立评分后再计算加权总分。在8.4.1辅助评估范围章节，针对MLLM辅助评估适用边界模糊、评估范围不明确的问题，界定其辅助评估适用场景，明确可针对“场景一致性”“身份一致性”“物理合理性”等抽象主观指标开展辅助评估。在8.4.2辅助评估流程章节，针对原有流程缺失闭环验证机制、无人工复核环节的问题，新增复核优化流程，要求对偏差较大的样本开展专家复核，分析偏差原因，并迭代优化MLLM提示词或校准参数，形成评估闭环。最后在附录C权重配置建议表格中，针对“其他专项”权重占比不明确、权重分配缺乏灵活性说明的问题，新增注释说明，明确表格内权重均为建议值，实际评估工作中可由组织方结合具体应用场景需求灵活调整，提升文档的适用性与实操性。</w:t>
      </w:r>
    </w:p>
    <w:p w14:paraId="57FB24DB" w14:textId="77777777" w:rsidR="00732E68" w:rsidRDefault="00000000">
      <w:pPr>
        <w:pStyle w:val="1"/>
        <w:rPr>
          <w:color w:val="auto"/>
          <w:lang w:eastAsia="zh-CN"/>
        </w:rPr>
      </w:pPr>
      <w:r>
        <w:rPr>
          <w:rFonts w:ascii="黑体" w:eastAsia="黑体" w:hAnsi="黑体"/>
          <w:color w:val="auto"/>
          <w:lang w:eastAsia="zh-CN"/>
        </w:rPr>
        <w:t>三、主要试验或验证情况分析</w:t>
      </w:r>
    </w:p>
    <w:p w14:paraId="58C1B9A0" w14:textId="77777777" w:rsidR="00732E68" w:rsidRDefault="00000000">
      <w:pPr>
        <w:pStyle w:val="aff4"/>
        <w:tabs>
          <w:tab w:val="center" w:pos="4201"/>
          <w:tab w:val="right" w:leader="dot" w:pos="9298"/>
        </w:tabs>
        <w:spacing w:line="360" w:lineRule="auto"/>
        <w:ind w:firstLineChars="0" w:firstLine="0"/>
        <w:rPr>
          <w:rFonts w:hAnsi="宋体"/>
          <w:b/>
          <w:bCs/>
          <w:sz w:val="24"/>
          <w:szCs w:val="24"/>
        </w:rPr>
      </w:pPr>
      <w:r>
        <w:rPr>
          <w:rFonts w:hAnsi="宋体" w:hint="eastAsia"/>
          <w:b/>
          <w:bCs/>
          <w:sz w:val="24"/>
          <w:szCs w:val="24"/>
        </w:rPr>
        <w:t>1.实验验证</w:t>
      </w:r>
    </w:p>
    <w:p w14:paraId="1AFB27B0" w14:textId="77777777" w:rsidR="00732E68" w:rsidRDefault="00000000">
      <w:pPr>
        <w:spacing w:line="360" w:lineRule="auto"/>
        <w:ind w:firstLine="432"/>
        <w:rPr>
          <w:lang w:eastAsia="zh-CN"/>
        </w:rPr>
      </w:pPr>
      <w:r>
        <w:rPr>
          <w:lang w:eastAsia="zh-CN"/>
        </w:rPr>
        <w:t>本标准规定的多模态AIGC内容主观质量评价流程，经中国科学院大学、</w:t>
      </w:r>
      <w:r>
        <w:rPr>
          <w:rFonts w:hint="eastAsia"/>
          <w:lang w:eastAsia="zh-CN"/>
        </w:rPr>
        <w:t>广东博华超高清创新中心有限公司</w:t>
      </w:r>
      <w:r>
        <w:rPr>
          <w:lang w:eastAsia="zh-CN"/>
        </w:rPr>
        <w:t>、山东大学三组独立实验验证</w:t>
      </w:r>
      <w:r>
        <w:rPr>
          <w:rFonts w:hint="eastAsia"/>
          <w:lang w:eastAsia="zh-CN"/>
        </w:rPr>
        <w:t>，</w:t>
      </w:r>
      <w:r>
        <w:rPr>
          <w:lang w:eastAsia="zh-CN"/>
        </w:rPr>
        <w:t>实验结果如下：</w:t>
      </w:r>
      <w:r>
        <w:rPr>
          <w:rFonts w:hint="eastAsia"/>
          <w:lang w:eastAsia="zh-CN"/>
        </w:rPr>
        <w:t>本实验采用5级绝对评价标度，针对图像生成、视频生成、三维生成、数字人四大AIGC生成模态开展系统性评估。实验选取各模态主流生成模型产出的样本数据，并结合各模态内容特性，分别设置差异化的专业评估维度，覆盖视觉效果、语义与身份一致性、物理与时序合理性、几何材质精度、动态交互效果等核心指标。每组实验招募多名评价员，由普通基础评价员与对应领域专业评价员组成，保障评估专业性。</w:t>
      </w:r>
    </w:p>
    <w:p w14:paraId="302E4861" w14:textId="77777777" w:rsidR="00732E68" w:rsidRDefault="00000000">
      <w:pPr>
        <w:spacing w:line="360" w:lineRule="auto"/>
        <w:ind w:firstLine="432"/>
        <w:rPr>
          <w:lang w:eastAsia="zh-CN"/>
        </w:rPr>
      </w:pPr>
      <w:r>
        <w:rPr>
          <w:rFonts w:hint="eastAsia"/>
          <w:lang w:eastAsia="zh-CN"/>
        </w:rPr>
        <w:t>实验搭建了标准化、分场景的软硬件评估环境，针对不同模态配置专属专业设备，采用高色域专业监视器、立体显示器、VR头显、专业监听音箱等设备，并严</w:t>
      </w:r>
      <w:r>
        <w:rPr>
          <w:rFonts w:hint="eastAsia"/>
          <w:lang w:eastAsia="zh-CN"/>
        </w:rPr>
        <w:lastRenderedPageBreak/>
        <w:t>格控制环境光照、环境噪音等外部变量，同时规范数字人评估的网络与延迟参数，为精准评估提供稳定的实验条件。</w:t>
      </w:r>
    </w:p>
    <w:p w14:paraId="7A9B88FA" w14:textId="77777777" w:rsidR="00732E68" w:rsidRDefault="00000000">
      <w:pPr>
        <w:spacing w:line="360" w:lineRule="auto"/>
        <w:ind w:firstLine="432"/>
        <w:rPr>
          <w:lang w:eastAsia="zh-CN"/>
        </w:rPr>
      </w:pPr>
      <w:r>
        <w:rPr>
          <w:rFonts w:hint="eastAsia"/>
          <w:lang w:eastAsia="zh-CN"/>
        </w:rPr>
        <w:t>实验一致性分析结果显示，图像、视频、三维、数字人四大模态的PLCC、SROCC系数均分别高于0.9，表明本次采用的评估方法稳定性、可重复性优异，评价员打分一致性良好，且交叉验证结果证实该评估方法具备良好的环境普适性。此外，实验同步完成MLLM辅助评估有效性验证，初始辅助评分与人工评分具备较高相关性，针对模型细微瑕疵识别弱、文化语境理解偏差等打分误差问题，通过优化提示词迭代改进后，各维度相关系数显著提升，有效优化了MLLM辅助评估精度。</w:t>
      </w:r>
    </w:p>
    <w:p w14:paraId="3BE2D38F" w14:textId="77777777" w:rsidR="00732E68" w:rsidRDefault="00000000">
      <w:pPr>
        <w:pStyle w:val="21"/>
        <w:rPr>
          <w:color w:val="auto"/>
          <w:lang w:eastAsia="zh-CN"/>
        </w:rPr>
      </w:pPr>
      <w:r>
        <w:rPr>
          <w:rFonts w:ascii="宋体" w:eastAsia="宋体" w:hAnsi="宋体" w:cs="Times New Roman" w:hint="eastAsia"/>
          <w:color w:val="auto"/>
          <w:sz w:val="24"/>
          <w:szCs w:val="24"/>
          <w:lang w:eastAsia="zh-CN"/>
        </w:rPr>
        <w:t>2.产业化情况、推广应用论证和预期达到的经济效果</w:t>
      </w:r>
    </w:p>
    <w:p w14:paraId="07DAEECB" w14:textId="77777777" w:rsidR="00732E68" w:rsidRDefault="00000000">
      <w:pPr>
        <w:spacing w:line="360" w:lineRule="auto"/>
        <w:ind w:firstLine="432"/>
        <w:rPr>
          <w:lang w:eastAsia="zh-CN"/>
        </w:rPr>
      </w:pPr>
      <w:r>
        <w:rPr>
          <w:lang w:eastAsia="zh-CN"/>
        </w:rPr>
        <w:t>本标准旨在用来规范多模态AIGC内容的主观质量评估流程，并将其应用于AIGC算法研发、模型性能对比、产品质量检测及系统验收评估等环节，以达到提升我国AIGC产业精细化质量管控能力、降低企业研发测试成本并增强AIGC产品核心竞争力的目标。</w:t>
      </w:r>
    </w:p>
    <w:p w14:paraId="75078D0D" w14:textId="77777777" w:rsidR="00732E68" w:rsidRDefault="00000000">
      <w:pPr>
        <w:spacing w:line="360" w:lineRule="auto"/>
        <w:ind w:firstLine="432"/>
        <w:rPr>
          <w:lang w:eastAsia="zh-CN"/>
        </w:rPr>
      </w:pPr>
      <w:r>
        <w:rPr>
          <w:lang w:eastAsia="zh-CN"/>
        </w:rPr>
        <w:t>产业化情况：随着生成式人工智能技术的快速发展，AIGC已在广告设计、影视制作、游戏开发、虚拟客服、工业设计等领域实现规模化应用。然而，行业内长期缺乏统一的内容质量评估标准，导致模型选型困难、生成效果难以量化、用户体验参差不齐。本标准的制定，为AIGC算法开发者、平台运营商及终端用户提供了公认的评价准则，有助于加速高质量AIGC技术的产业化落地。</w:t>
      </w:r>
    </w:p>
    <w:p w14:paraId="3DBB2B7A" w14:textId="77777777" w:rsidR="00732E68" w:rsidRDefault="00000000">
      <w:pPr>
        <w:spacing w:line="360" w:lineRule="auto"/>
        <w:ind w:firstLine="432"/>
        <w:rPr>
          <w:lang w:eastAsia="zh-CN"/>
        </w:rPr>
      </w:pPr>
      <w:r>
        <w:rPr>
          <w:lang w:eastAsia="zh-CN"/>
        </w:rPr>
        <w:t>推广应用论证：本标准由广东博华超高清创新中心有限公司、鹏城国家实验室、中国科学院大学、北京大学、咪咕等顶尖高校、科研机构及行业头部企业联合起草，涵盖了产、学、研、用全产业链。标准提出的分模态评估流程和5级评分量表，具有操作性强、可复现性高、与国际标准兼容等优点，极易在相关企业的研发实验室和第三方检测机构中推广应用，具有极强的可操作性和普适性。</w:t>
      </w:r>
    </w:p>
    <w:p w14:paraId="507FB59F" w14:textId="77777777" w:rsidR="00732E68" w:rsidRDefault="00000000">
      <w:pPr>
        <w:spacing w:line="360" w:lineRule="auto"/>
        <w:ind w:firstLine="432"/>
        <w:rPr>
          <w:lang w:eastAsia="zh-CN"/>
        </w:rPr>
      </w:pPr>
      <w:r>
        <w:rPr>
          <w:lang w:eastAsia="zh-CN"/>
        </w:rPr>
        <w:t>预期经济效果：</w:t>
      </w:r>
    </w:p>
    <w:p w14:paraId="4E67677B" w14:textId="77777777" w:rsidR="00732E68" w:rsidRDefault="00000000">
      <w:pPr>
        <w:spacing w:line="360" w:lineRule="auto"/>
        <w:ind w:firstLine="432"/>
        <w:rPr>
          <w:lang w:eastAsia="zh-CN"/>
        </w:rPr>
      </w:pPr>
      <w:r>
        <w:rPr>
          <w:lang w:eastAsia="zh-CN"/>
        </w:rPr>
        <w:lastRenderedPageBreak/>
        <w:t>（1）提升研发效率：通过标准化的主观评估方法，企业可快速定位模型缺陷（如语义偏离、生成痕迹），缩短技术迭代周期，预计可降低主观测试环节30%-50%的人力和时间成本；</w:t>
      </w:r>
    </w:p>
    <w:p w14:paraId="6FF9C7E7" w14:textId="77777777" w:rsidR="00732E68" w:rsidRDefault="00000000">
      <w:pPr>
        <w:spacing w:line="360" w:lineRule="auto"/>
        <w:ind w:firstLine="432"/>
        <w:rPr>
          <w:lang w:eastAsia="zh-CN"/>
        </w:rPr>
      </w:pPr>
      <w:r>
        <w:rPr>
          <w:lang w:eastAsia="zh-CN"/>
        </w:rPr>
        <w:t>（2）优化用户体验：精细化的质量评估有助于提升AIGC终端产品的内容质量，减少因视觉瑕疵或语义不一致导致的用户投诉和流失，进而提升平台黏性和商业价值；</w:t>
      </w:r>
    </w:p>
    <w:p w14:paraId="5C76CA2C" w14:textId="77777777" w:rsidR="00732E68" w:rsidRDefault="00000000">
      <w:pPr>
        <w:spacing w:line="360" w:lineRule="auto"/>
        <w:ind w:firstLine="432"/>
        <w:rPr>
          <w:lang w:eastAsia="zh-CN"/>
        </w:rPr>
      </w:pPr>
      <w:r>
        <w:rPr>
          <w:lang w:eastAsia="zh-CN"/>
        </w:rPr>
        <w:t>（3）支撑行业准入：本标准为AIGC内容质量评价（QoS）和用户体验评价（QoE）提供了量化依据，有助于规范市场竞争，推动AIGC产业向高质量、高安全、高可信方向健康发展；</w:t>
      </w:r>
    </w:p>
    <w:p w14:paraId="5436F17E" w14:textId="77777777" w:rsidR="00732E68" w:rsidRDefault="00000000">
      <w:pPr>
        <w:spacing w:line="360" w:lineRule="auto"/>
        <w:ind w:firstLine="432"/>
        <w:rPr>
          <w:lang w:eastAsia="zh-CN"/>
        </w:rPr>
      </w:pPr>
      <w:r>
        <w:rPr>
          <w:lang w:eastAsia="zh-CN"/>
        </w:rPr>
        <w:t>（4）促进国际贸易：与国际标准（ITU-R BT.500、ITU-T P.910）兼容的评估体系，有助于我国AIGC产品和技术走向国际市场，提升国际竞争力。</w:t>
      </w:r>
    </w:p>
    <w:p w14:paraId="5ADB641C" w14:textId="77777777" w:rsidR="00732E68" w:rsidRDefault="00000000">
      <w:pPr>
        <w:pStyle w:val="1"/>
        <w:rPr>
          <w:color w:val="auto"/>
          <w:lang w:eastAsia="zh-CN"/>
        </w:rPr>
      </w:pPr>
      <w:r>
        <w:rPr>
          <w:rFonts w:ascii="黑体" w:eastAsia="黑体" w:hAnsi="黑体"/>
          <w:color w:val="auto"/>
          <w:lang w:eastAsia="zh-CN"/>
        </w:rPr>
        <w:t>四、国际、国外同类标准技术内容对比情况</w:t>
      </w:r>
    </w:p>
    <w:p w14:paraId="2D9C713F" w14:textId="77777777" w:rsidR="00732E68" w:rsidRDefault="00000000">
      <w:pPr>
        <w:spacing w:line="360" w:lineRule="auto"/>
        <w:ind w:firstLine="432"/>
        <w:rPr>
          <w:lang w:eastAsia="zh-CN"/>
        </w:rPr>
      </w:pPr>
      <w:r>
        <w:rPr>
          <w:lang w:eastAsia="zh-CN"/>
        </w:rPr>
        <w:t>本标准在研制过程中，深入分析并参考了多项多媒体质量评价领域的国际标准，其技术内容的对比情况如下：</w:t>
      </w:r>
    </w:p>
    <w:p w14:paraId="65B14704" w14:textId="77777777" w:rsidR="00732E68" w:rsidRDefault="00000000">
      <w:pPr>
        <w:pStyle w:val="aff4"/>
        <w:tabs>
          <w:tab w:val="center" w:pos="4201"/>
          <w:tab w:val="right" w:leader="dot" w:pos="9298"/>
        </w:tabs>
        <w:spacing w:line="360" w:lineRule="auto"/>
        <w:ind w:firstLineChars="0" w:firstLine="0"/>
        <w:rPr>
          <w:rFonts w:hAnsi="宋体"/>
          <w:b/>
          <w:bCs/>
          <w:sz w:val="24"/>
          <w:szCs w:val="24"/>
        </w:rPr>
      </w:pPr>
      <w:r>
        <w:rPr>
          <w:rFonts w:hAnsi="宋体" w:hint="eastAsia"/>
          <w:b/>
          <w:bCs/>
          <w:sz w:val="24"/>
          <w:szCs w:val="24"/>
        </w:rPr>
        <w:t>1.与电视图像质量评价标准ITU-R BT.500-14的对比</w:t>
      </w:r>
    </w:p>
    <w:p w14:paraId="5CFE4915" w14:textId="77777777" w:rsidR="00732E68" w:rsidRDefault="00000000">
      <w:pPr>
        <w:spacing w:line="360" w:lineRule="auto"/>
        <w:ind w:firstLine="432"/>
        <w:rPr>
          <w:lang w:eastAsia="zh-CN"/>
        </w:rPr>
      </w:pPr>
      <w:r>
        <w:rPr>
          <w:lang w:eastAsia="zh-CN"/>
        </w:rPr>
        <w:t>ITU-R BT.500-14主要针对传统电视图像质量的主观评价，支持单刺激、双刺激、成对比较等多种评价方法。本标准继承了其在评价员资质要求、环境控制、异常值剔除等方面的通用准则，但针对AIGC生成内容的特殊性，将评估重心从"传统保真度评价"转向"语义一致性+物理合理性+生成痕迹检测"的多维评价。本标准引入的"有参照/无参照/半参照"评估模式分类，以及针对AIGC特有的"身份一致性"、"拓扑合理性"等评估维度，能够比ITU-R BT.500-14更全面地覆盖AIGC内容的质量属性。</w:t>
      </w:r>
    </w:p>
    <w:p w14:paraId="2246824C" w14:textId="77777777" w:rsidR="00732E68" w:rsidRDefault="00000000">
      <w:pPr>
        <w:pStyle w:val="aff4"/>
        <w:tabs>
          <w:tab w:val="center" w:pos="4201"/>
          <w:tab w:val="right" w:leader="dot" w:pos="9298"/>
        </w:tabs>
        <w:spacing w:line="360" w:lineRule="auto"/>
        <w:ind w:firstLineChars="0" w:firstLine="0"/>
        <w:rPr>
          <w:rFonts w:hAnsi="宋体"/>
          <w:b/>
          <w:bCs/>
          <w:sz w:val="24"/>
          <w:szCs w:val="24"/>
        </w:rPr>
      </w:pPr>
      <w:r>
        <w:rPr>
          <w:rFonts w:hAnsi="宋体" w:hint="eastAsia"/>
          <w:b/>
          <w:bCs/>
          <w:sz w:val="24"/>
          <w:szCs w:val="24"/>
        </w:rPr>
        <w:t>2.与多媒体视频质量评价标准ITU-T P.910的对比</w:t>
      </w:r>
    </w:p>
    <w:p w14:paraId="06016505" w14:textId="77777777" w:rsidR="00732E68" w:rsidRDefault="00000000">
      <w:pPr>
        <w:spacing w:line="360" w:lineRule="auto"/>
        <w:ind w:firstLine="432"/>
        <w:rPr>
          <w:lang w:eastAsia="zh-CN"/>
        </w:rPr>
      </w:pPr>
      <w:r>
        <w:rPr>
          <w:lang w:eastAsia="zh-CN"/>
        </w:rPr>
        <w:t>ITU-T P.910主要针对多媒体应用中的整体视频质量进行评价，支持ACR、DCR等多种评分标度。与之相比，本标准继承了其在绝对类别评级（ACR）和MOS计算</w:t>
      </w:r>
      <w:r>
        <w:rPr>
          <w:lang w:eastAsia="zh-CN"/>
        </w:rPr>
        <w:lastRenderedPageBreak/>
        <w:t>方法上的成熟经验，但针对AIGC视频生成内容，增加了时序一致性、镜头语言响应、身份一致性等专项评估维度。本标准引入的MLLM辅助评估机制，能够比传统人工评估更高效地处理大规模样本的预筛选和一致性校验。</w:t>
      </w:r>
    </w:p>
    <w:p w14:paraId="7E8D2843" w14:textId="77777777" w:rsidR="00732E68" w:rsidRDefault="00000000">
      <w:pPr>
        <w:pStyle w:val="aff4"/>
        <w:tabs>
          <w:tab w:val="center" w:pos="4201"/>
          <w:tab w:val="right" w:leader="dot" w:pos="9298"/>
        </w:tabs>
        <w:spacing w:line="360" w:lineRule="auto"/>
        <w:ind w:firstLineChars="0" w:firstLine="0"/>
        <w:rPr>
          <w:rFonts w:hAnsi="宋体"/>
          <w:b/>
          <w:bCs/>
          <w:sz w:val="24"/>
          <w:szCs w:val="24"/>
        </w:rPr>
      </w:pPr>
      <w:r>
        <w:rPr>
          <w:rFonts w:hAnsi="宋体" w:hint="eastAsia"/>
          <w:b/>
          <w:bCs/>
          <w:sz w:val="24"/>
          <w:szCs w:val="24"/>
        </w:rPr>
        <w:t>3.与动画框架扩展标准ISO/IEC 14496-16的对比</w:t>
      </w:r>
    </w:p>
    <w:p w14:paraId="084E7C11" w14:textId="77777777" w:rsidR="00732E68" w:rsidRDefault="00000000">
      <w:pPr>
        <w:spacing w:line="360" w:lineRule="auto"/>
        <w:ind w:firstLine="432"/>
        <w:rPr>
          <w:lang w:eastAsia="zh-CN"/>
        </w:rPr>
      </w:pPr>
      <w:r>
        <w:rPr>
          <w:lang w:eastAsia="zh-CN"/>
        </w:rPr>
        <w:t>ISO/IEC 14496-16（AFX）主要针对三维动画内容的编码和传输。本标准在三维生成内容评估维度上参考了AFX对三维模型结构的要求，但将评估范围从"编码质量"扩展到"生成质量"，增加了几何保真度、拓扑合理性、材质一致性、多视角一致性等AIGC特有的评估指标。本标准提出的六标准视角观察法和三种显示模式（线框/实体/材质）切换要求，为三维AIGC内容的全面评估提供了标准化流程。</w:t>
      </w:r>
    </w:p>
    <w:p w14:paraId="45FA570A" w14:textId="77777777" w:rsidR="00732E68" w:rsidRDefault="00000000">
      <w:pPr>
        <w:pStyle w:val="aff4"/>
        <w:tabs>
          <w:tab w:val="center" w:pos="4201"/>
          <w:tab w:val="right" w:leader="dot" w:pos="9298"/>
        </w:tabs>
        <w:spacing w:line="360" w:lineRule="auto"/>
        <w:ind w:firstLineChars="0" w:firstLine="0"/>
        <w:rPr>
          <w:rFonts w:hAnsi="宋体"/>
          <w:b/>
          <w:bCs/>
          <w:sz w:val="24"/>
          <w:szCs w:val="24"/>
        </w:rPr>
      </w:pPr>
      <w:r>
        <w:rPr>
          <w:rFonts w:hAnsi="宋体" w:hint="eastAsia"/>
          <w:b/>
          <w:bCs/>
          <w:sz w:val="24"/>
          <w:szCs w:val="24"/>
        </w:rPr>
        <w:t>4.与虚拟现实显示设备标准GB/T 38259-2019的对比</w:t>
      </w:r>
    </w:p>
    <w:p w14:paraId="2FEA03AF" w14:textId="77777777" w:rsidR="00732E68" w:rsidRDefault="00000000">
      <w:pPr>
        <w:spacing w:line="360" w:lineRule="auto"/>
        <w:ind w:firstLine="432"/>
        <w:rPr>
          <w:lang w:eastAsia="zh-CN"/>
        </w:rPr>
      </w:pPr>
      <w:r>
        <w:rPr>
          <w:lang w:eastAsia="zh-CN"/>
        </w:rPr>
        <w:t>GB/T 38259-2019主要针对虚拟现实头戴式显示设备的通用规范。本标准在三维内容评估的VR环境配置要求上参考了该标准对分辨率、刷新率等参数的规定，但将应用范围从"设备性能评价"转向"内容质量评价"，增加了评价员在虚拟环境中的交互评估规范和安全空间要求。</w:t>
      </w:r>
    </w:p>
    <w:p w14:paraId="3F9C1D60" w14:textId="77777777" w:rsidR="00732E68" w:rsidRDefault="00000000">
      <w:pPr>
        <w:spacing w:line="360" w:lineRule="auto"/>
        <w:ind w:firstLine="432"/>
        <w:rPr>
          <w:lang w:eastAsia="zh-CN"/>
        </w:rPr>
      </w:pPr>
      <w:r>
        <w:rPr>
          <w:lang w:eastAsia="zh-CN"/>
        </w:rPr>
        <w:t>综上所述，本标准在遵循现有国际标准评价框架的基础上，针对多模态AIGC生成内容的技术特性和产业需求，提供了一种更具针对性、更全面的主观评价手段，填补了国际标准在多模态AIGC内容质量评估领域的空白。</w:t>
      </w:r>
    </w:p>
    <w:p w14:paraId="631FCCAE" w14:textId="77777777" w:rsidR="00732E68" w:rsidRDefault="00000000">
      <w:pPr>
        <w:pStyle w:val="1"/>
        <w:rPr>
          <w:color w:val="auto"/>
          <w:lang w:eastAsia="zh-CN"/>
        </w:rPr>
      </w:pPr>
      <w:r>
        <w:rPr>
          <w:rFonts w:ascii="黑体" w:eastAsia="黑体" w:hAnsi="黑体"/>
          <w:color w:val="auto"/>
          <w:lang w:eastAsia="zh-CN"/>
        </w:rPr>
        <w:t>五、采用国际标准和国外先进标准情况</w:t>
      </w:r>
    </w:p>
    <w:p w14:paraId="55FC2320" w14:textId="77777777" w:rsidR="00732E68" w:rsidRDefault="00000000">
      <w:pPr>
        <w:spacing w:line="360" w:lineRule="auto"/>
        <w:ind w:firstLine="432"/>
        <w:rPr>
          <w:lang w:eastAsia="zh-CN"/>
        </w:rPr>
      </w:pPr>
      <w:r>
        <w:rPr>
          <w:lang w:eastAsia="zh-CN"/>
        </w:rPr>
        <w:t>本标准在评价员资质要求、环境控制参数、评分标度设计、MOS计算方法以及异常值剔除规则等方面，充分参考并合规采用了GB/T 1.1-2020《标准化工作导则 第1部分：标准化文件的结构和起草规则》、GB/T 41867-2022《信息技术 人工智能 术语》、ITU-R BT.500-14《电视图像质量的主观评价方法》、ITU-R BT.2020《超高清电视系统节目制作和国际交换的参数数值》、ITU-T P.910《多媒体应用的主观视频质量评估方法》、ISO/IEC 14496-16《信息技术 视听对象编码 第16部分：动画框架扩展（AFX）》、IEEE 1547.1《分布式资源与电力系统互联设备一</w:t>
      </w:r>
      <w:r>
        <w:rPr>
          <w:lang w:eastAsia="zh-CN"/>
        </w:rPr>
        <w:lastRenderedPageBreak/>
        <w:t>致性测试程序》等国家及国际先进标准的相关准则，确保了评价体系在核心技术要求上的规范性、科学性与国际一致性。</w:t>
      </w:r>
    </w:p>
    <w:p w14:paraId="44DC5C64" w14:textId="77777777" w:rsidR="00732E68" w:rsidRDefault="00000000">
      <w:pPr>
        <w:pStyle w:val="1"/>
        <w:rPr>
          <w:color w:val="auto"/>
          <w:lang w:eastAsia="zh-CN"/>
        </w:rPr>
      </w:pPr>
      <w:r>
        <w:rPr>
          <w:rFonts w:ascii="黑体" w:eastAsia="黑体" w:hAnsi="黑体"/>
          <w:color w:val="auto"/>
          <w:lang w:eastAsia="zh-CN"/>
        </w:rPr>
        <w:t>六、与现行相关法律、法规、规章及相关标准的协调性</w:t>
      </w:r>
    </w:p>
    <w:p w14:paraId="54D13308" w14:textId="77777777" w:rsidR="00732E68" w:rsidRDefault="00000000">
      <w:pPr>
        <w:spacing w:line="360" w:lineRule="auto"/>
        <w:ind w:firstLine="432"/>
        <w:rPr>
          <w:lang w:eastAsia="zh-CN"/>
        </w:rPr>
      </w:pPr>
      <w:r>
        <w:rPr>
          <w:lang w:eastAsia="zh-CN"/>
        </w:rPr>
        <w:t>本标准符合《中华人民共和国标准化法》《中华人民共和国网络安全法》《中华人民共和国数据安全法》《中华人民共和国个人信息保护法》《生成式人工智能服务管理暂行办法》等相关法律法规的要求。在术语定义方面与GB/T 41867-2022《信息技术 人工智能 术语》保持协调，在视频质量评价方面与GY/T 406-2024《视频修复增强技术要求和评价方法》保持协调，在虚拟现实设备方面与GB/T 38259-2019《信息技术 虚拟现实头戴式显示设备通用规范》保持协调。</w:t>
      </w:r>
    </w:p>
    <w:p w14:paraId="789F976A" w14:textId="77777777" w:rsidR="00732E68" w:rsidRDefault="00000000">
      <w:pPr>
        <w:pStyle w:val="1"/>
        <w:rPr>
          <w:color w:val="auto"/>
          <w:lang w:eastAsia="zh-CN"/>
        </w:rPr>
      </w:pPr>
      <w:r>
        <w:rPr>
          <w:rFonts w:ascii="黑体" w:eastAsia="黑体" w:hAnsi="黑体"/>
          <w:color w:val="auto"/>
          <w:lang w:eastAsia="zh-CN"/>
        </w:rPr>
        <w:t>七、重大分歧意见的处理经过和依据</w:t>
      </w:r>
    </w:p>
    <w:p w14:paraId="1D80B1B9" w14:textId="77777777" w:rsidR="00732E68" w:rsidRDefault="00000000">
      <w:pPr>
        <w:spacing w:line="360" w:lineRule="auto"/>
        <w:ind w:firstLine="432"/>
        <w:rPr>
          <w:lang w:eastAsia="zh-CN"/>
        </w:rPr>
      </w:pPr>
      <w:r>
        <w:rPr>
          <w:lang w:eastAsia="zh-CN"/>
        </w:rPr>
        <w:t>无。</w:t>
      </w:r>
    </w:p>
    <w:p w14:paraId="6D2ED58E" w14:textId="77777777" w:rsidR="00732E68" w:rsidRDefault="00000000">
      <w:pPr>
        <w:pStyle w:val="1"/>
        <w:rPr>
          <w:color w:val="auto"/>
          <w:lang w:eastAsia="zh-CN"/>
        </w:rPr>
      </w:pPr>
      <w:r>
        <w:rPr>
          <w:rFonts w:ascii="黑体" w:eastAsia="黑体" w:hAnsi="黑体"/>
          <w:color w:val="auto"/>
          <w:lang w:eastAsia="zh-CN"/>
        </w:rPr>
        <w:t>八、知识产权情况说明</w:t>
      </w:r>
    </w:p>
    <w:p w14:paraId="38C39023" w14:textId="77777777" w:rsidR="00732E68" w:rsidRDefault="00000000">
      <w:pPr>
        <w:spacing w:line="360" w:lineRule="auto"/>
        <w:ind w:firstLine="432"/>
        <w:rPr>
          <w:lang w:eastAsia="zh-CN"/>
        </w:rPr>
      </w:pPr>
      <w:r>
        <w:rPr>
          <w:lang w:eastAsia="zh-CN"/>
        </w:rPr>
        <w:t>本标准不涉及专利。</w:t>
      </w:r>
    </w:p>
    <w:p w14:paraId="417D69C1" w14:textId="77777777" w:rsidR="00732E68" w:rsidRDefault="00000000">
      <w:pPr>
        <w:pStyle w:val="1"/>
        <w:rPr>
          <w:color w:val="auto"/>
          <w:lang w:eastAsia="zh-CN"/>
        </w:rPr>
      </w:pPr>
      <w:r>
        <w:rPr>
          <w:rFonts w:ascii="黑体" w:eastAsia="黑体" w:hAnsi="黑体"/>
          <w:color w:val="auto"/>
          <w:lang w:eastAsia="zh-CN"/>
        </w:rPr>
        <w:t>九、贯彻标准的要求和措施建议</w:t>
      </w:r>
    </w:p>
    <w:p w14:paraId="034EDF31" w14:textId="77777777" w:rsidR="00732E68" w:rsidRDefault="00000000">
      <w:pPr>
        <w:spacing w:line="360" w:lineRule="auto"/>
        <w:ind w:firstLine="432"/>
        <w:rPr>
          <w:lang w:eastAsia="zh-CN"/>
        </w:rPr>
      </w:pPr>
      <w:r>
        <w:rPr>
          <w:lang w:eastAsia="zh-CN"/>
        </w:rPr>
        <w:t>本标准为多模态AIGC内容主观质量评价提供了标准化的实验流程、环境参数、评分量表及数据处理模型。本标准的预期用途是为AIGC生成内容的算法迭代、模型选型、系统验收及质量合规性评估提供科学依据，使用户能够准确捕捉内容在视觉质量、语义一致性、物理合理性、安全合规等方面的质量属性。</w:t>
      </w:r>
    </w:p>
    <w:p w14:paraId="03D5189F" w14:textId="77777777" w:rsidR="00732E68" w:rsidRDefault="00000000">
      <w:pPr>
        <w:spacing w:line="360" w:lineRule="auto"/>
        <w:ind w:firstLine="432"/>
        <w:rPr>
          <w:lang w:eastAsia="zh-CN"/>
        </w:rPr>
      </w:pPr>
      <w:r>
        <w:rPr>
          <w:lang w:eastAsia="zh-CN"/>
        </w:rPr>
        <w:t>在实施建议方面，为了确保评价结果的科学性与可比性，推荐将本标准与以下标准结合应用：</w:t>
      </w:r>
    </w:p>
    <w:p w14:paraId="211E399F" w14:textId="77777777" w:rsidR="00732E68" w:rsidRDefault="00000000">
      <w:pPr>
        <w:ind w:firstLine="432"/>
        <w:rPr>
          <w:lang w:eastAsia="zh-CN"/>
        </w:rPr>
      </w:pPr>
      <w:r>
        <w:rPr>
          <w:lang w:eastAsia="zh-CN"/>
        </w:rPr>
        <w:t>1. T/AI XXX《多模态AIGC内容评估技术》系列标准的其他部分；</w:t>
      </w:r>
    </w:p>
    <w:p w14:paraId="1F955987" w14:textId="77777777" w:rsidR="00732E68" w:rsidRDefault="00000000">
      <w:pPr>
        <w:ind w:firstLine="432"/>
        <w:rPr>
          <w:lang w:eastAsia="zh-CN"/>
        </w:rPr>
      </w:pPr>
      <w:r>
        <w:rPr>
          <w:lang w:eastAsia="zh-CN"/>
        </w:rPr>
        <w:t>2. GB/T 41867-2022《信息技术 人工智能 术语》；</w:t>
      </w:r>
    </w:p>
    <w:p w14:paraId="3F98534B" w14:textId="77777777" w:rsidR="00732E68" w:rsidRDefault="00000000">
      <w:pPr>
        <w:ind w:firstLine="432"/>
        <w:rPr>
          <w:lang w:eastAsia="zh-CN"/>
        </w:rPr>
      </w:pPr>
      <w:r>
        <w:rPr>
          <w:lang w:eastAsia="zh-CN"/>
        </w:rPr>
        <w:t>3. ITU-R BT.500-14《电视图像质量的主观评价方法》；</w:t>
      </w:r>
    </w:p>
    <w:p w14:paraId="51C02BC4" w14:textId="77777777" w:rsidR="00732E68" w:rsidRDefault="00000000">
      <w:pPr>
        <w:ind w:firstLine="432"/>
        <w:rPr>
          <w:lang w:eastAsia="zh-CN"/>
        </w:rPr>
      </w:pPr>
      <w:r>
        <w:rPr>
          <w:lang w:eastAsia="zh-CN"/>
        </w:rPr>
        <w:lastRenderedPageBreak/>
        <w:t>4. ITU-T P.910《多媒体应用的主观视频质量评估方法》；</w:t>
      </w:r>
    </w:p>
    <w:p w14:paraId="545BD352" w14:textId="77777777" w:rsidR="00732E68" w:rsidRDefault="00000000">
      <w:pPr>
        <w:ind w:firstLine="432"/>
        <w:rPr>
          <w:lang w:eastAsia="zh-CN"/>
        </w:rPr>
      </w:pPr>
      <w:r>
        <w:rPr>
          <w:lang w:eastAsia="zh-CN"/>
        </w:rPr>
        <w:t>5. 针对特定行业应用（如医疗数字人、工业三维模型），建议结合行业相关标准进行评估。</w:t>
      </w:r>
    </w:p>
    <w:p w14:paraId="61C6D7D0" w14:textId="77777777" w:rsidR="00732E68" w:rsidRDefault="00000000">
      <w:pPr>
        <w:pStyle w:val="1"/>
        <w:rPr>
          <w:color w:val="auto"/>
          <w:lang w:eastAsia="zh-CN"/>
        </w:rPr>
      </w:pPr>
      <w:r>
        <w:rPr>
          <w:rFonts w:ascii="黑体" w:eastAsia="黑体" w:hAnsi="黑体"/>
          <w:color w:val="auto"/>
          <w:lang w:eastAsia="zh-CN"/>
        </w:rPr>
        <w:t>十、其他应予说明的事项</w:t>
      </w:r>
    </w:p>
    <w:p w14:paraId="24523D67" w14:textId="77777777" w:rsidR="00732E68" w:rsidRDefault="00000000">
      <w:pPr>
        <w:spacing w:line="360" w:lineRule="auto"/>
        <w:ind w:firstLine="432"/>
        <w:rPr>
          <w:lang w:eastAsia="zh-CN"/>
        </w:rPr>
      </w:pPr>
      <w:r>
        <w:rPr>
          <w:lang w:eastAsia="zh-CN"/>
        </w:rPr>
        <w:t>无。</w:t>
      </w:r>
    </w:p>
    <w:p w14:paraId="020A4F0B" w14:textId="77777777" w:rsidR="00732E68" w:rsidRDefault="00000000">
      <w:pPr>
        <w:spacing w:line="360" w:lineRule="auto"/>
        <w:ind w:firstLine="432"/>
        <w:rPr>
          <w:lang w:eastAsia="zh-CN"/>
        </w:rPr>
      </w:pPr>
      <w:r>
        <w:rPr>
          <w:lang w:eastAsia="zh-CN"/>
        </w:rPr>
        <w:t>《多模态AIGC内容评估技术 第1部分：主观评估方法规范》标准编制组</w:t>
      </w:r>
    </w:p>
    <w:p w14:paraId="60871C6E" w14:textId="77777777" w:rsidR="00732E68" w:rsidRDefault="00000000">
      <w:pPr>
        <w:spacing w:line="360" w:lineRule="auto"/>
        <w:ind w:firstLine="432"/>
      </w:pPr>
      <w:r>
        <w:t>2026年7月</w:t>
      </w:r>
    </w:p>
    <w:sectPr w:rsidR="00732E6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2DB69" w14:textId="77777777" w:rsidR="00AC2810" w:rsidRDefault="00AC2810">
      <w:pPr>
        <w:spacing w:line="240" w:lineRule="auto"/>
      </w:pPr>
      <w:r>
        <w:separator/>
      </w:r>
    </w:p>
  </w:endnote>
  <w:endnote w:type="continuationSeparator" w:id="0">
    <w:p w14:paraId="1224C553" w14:textId="77777777" w:rsidR="00AC2810" w:rsidRDefault="00AC28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9FD8B" w14:textId="77777777" w:rsidR="00AC2810" w:rsidRDefault="00AC2810">
      <w:pPr>
        <w:spacing w:after="0"/>
      </w:pPr>
      <w:r>
        <w:separator/>
      </w:r>
    </w:p>
  </w:footnote>
  <w:footnote w:type="continuationSeparator" w:id="0">
    <w:p w14:paraId="73193BE2" w14:textId="77777777" w:rsidR="00AC2810" w:rsidRDefault="00AC281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738554697">
    <w:abstractNumId w:val="1"/>
  </w:num>
  <w:num w:numId="2" w16cid:durableId="1309214730">
    <w:abstractNumId w:val="4"/>
  </w:num>
  <w:num w:numId="3" w16cid:durableId="170417654">
    <w:abstractNumId w:val="5"/>
  </w:num>
  <w:num w:numId="4" w16cid:durableId="2073000148">
    <w:abstractNumId w:val="2"/>
  </w:num>
  <w:num w:numId="5" w16cid:durableId="1060177650">
    <w:abstractNumId w:val="0"/>
  </w:num>
  <w:num w:numId="6" w16cid:durableId="14829641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34616"/>
    <w:rsid w:val="0006063C"/>
    <w:rsid w:val="0015074B"/>
    <w:rsid w:val="00172A27"/>
    <w:rsid w:val="00292E56"/>
    <w:rsid w:val="0029639D"/>
    <w:rsid w:val="00326F90"/>
    <w:rsid w:val="004043A8"/>
    <w:rsid w:val="006C6D59"/>
    <w:rsid w:val="00732E68"/>
    <w:rsid w:val="00743A1E"/>
    <w:rsid w:val="00AA1D8D"/>
    <w:rsid w:val="00AC2810"/>
    <w:rsid w:val="00B47730"/>
    <w:rsid w:val="00CB0664"/>
    <w:rsid w:val="00FC693F"/>
    <w:rsid w:val="0F035E43"/>
    <w:rsid w:val="16F73E10"/>
    <w:rsid w:val="1A3306A3"/>
    <w:rsid w:val="391B1A47"/>
    <w:rsid w:val="3A5C6756"/>
    <w:rsid w:val="42E859D2"/>
    <w:rsid w:val="43C9011B"/>
    <w:rsid w:val="4A38723F"/>
    <w:rsid w:val="5C097CED"/>
    <w:rsid w:val="660C57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4ECA65"/>
  <w14:defaultImageDpi w14:val="300"/>
  <w15:docId w15:val="{6C9780CA-3DCC-4E26-B13C-F23258CB0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200" w:line="276" w:lineRule="auto"/>
    </w:pPr>
    <w:rPr>
      <w:rFonts w:ascii="宋体" w:eastAsia="宋体" w:hAnsi="宋体"/>
      <w:sz w:val="24"/>
      <w:szCs w:val="22"/>
      <w:lang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lang w:eastAsia="en-US"/>
    </w:rPr>
  </w:style>
  <w:style w:type="paragraph" w:styleId="33">
    <w:name w:val="List 3"/>
    <w:basedOn w:val="a1"/>
    <w:uiPriority w:val="99"/>
    <w:unhideWhenUsed/>
    <w:qFormat/>
    <w:pPr>
      <w:ind w:left="1080" w:hanging="360"/>
      <w:contextualSpacing/>
    </w:pPr>
  </w:style>
  <w:style w:type="paragraph" w:styleId="2">
    <w:name w:val="List Number 2"/>
    <w:basedOn w:val="a1"/>
    <w:uiPriority w:val="99"/>
    <w:unhideWhenUsed/>
    <w:qFormat/>
    <w:pPr>
      <w:numPr>
        <w:numId w:val="1"/>
      </w:numPr>
      <w:contextualSpacing/>
    </w:pPr>
  </w:style>
  <w:style w:type="paragraph" w:styleId="a">
    <w:name w:val="List Number"/>
    <w:basedOn w:val="a1"/>
    <w:uiPriority w:val="99"/>
    <w:unhideWhenUsed/>
    <w:qFormat/>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qFormat/>
    <w:pPr>
      <w:numPr>
        <w:numId w:val="3"/>
      </w:numPr>
      <w:contextualSpacing/>
    </w:pPr>
  </w:style>
  <w:style w:type="paragraph" w:styleId="34">
    <w:name w:val="Body Text 3"/>
    <w:basedOn w:val="a1"/>
    <w:link w:val="35"/>
    <w:uiPriority w:val="99"/>
    <w:unhideWhenUsed/>
    <w:qFormat/>
    <w:pPr>
      <w:spacing w:after="120"/>
    </w:pPr>
    <w:rPr>
      <w:sz w:val="16"/>
      <w:szCs w:val="16"/>
    </w:rPr>
  </w:style>
  <w:style w:type="paragraph" w:styleId="30">
    <w:name w:val="List Bullet 3"/>
    <w:basedOn w:val="a1"/>
    <w:uiPriority w:val="99"/>
    <w:unhideWhenUsed/>
    <w:qFormat/>
    <w:pPr>
      <w:numPr>
        <w:numId w:val="4"/>
      </w:numPr>
      <w:contextualSpacing/>
    </w:pPr>
  </w:style>
  <w:style w:type="paragraph" w:styleId="a8">
    <w:name w:val="Body Text"/>
    <w:basedOn w:val="a1"/>
    <w:link w:val="a9"/>
    <w:uiPriority w:val="99"/>
    <w:unhideWhenUsed/>
    <w:qFormat/>
    <w:pPr>
      <w:spacing w:after="120"/>
    </w:pPr>
  </w:style>
  <w:style w:type="paragraph" w:styleId="3">
    <w:name w:val="List Number 3"/>
    <w:basedOn w:val="a1"/>
    <w:uiPriority w:val="99"/>
    <w:unhideWhenUsed/>
    <w:qFormat/>
    <w:pPr>
      <w:numPr>
        <w:numId w:val="5"/>
      </w:numPr>
      <w:contextualSpacing/>
    </w:pPr>
  </w:style>
  <w:style w:type="paragraph" w:styleId="23">
    <w:name w:val="List 2"/>
    <w:basedOn w:val="a1"/>
    <w:uiPriority w:val="99"/>
    <w:unhideWhenUsed/>
    <w:qFormat/>
    <w:pPr>
      <w:ind w:left="720" w:hanging="360"/>
      <w:contextualSpacing/>
    </w:pPr>
  </w:style>
  <w:style w:type="paragraph" w:styleId="aa">
    <w:name w:val="List Continue"/>
    <w:basedOn w:val="a1"/>
    <w:uiPriority w:val="99"/>
    <w:unhideWhenUsed/>
    <w:qFormat/>
    <w:pPr>
      <w:spacing w:after="120"/>
      <w:ind w:left="360"/>
      <w:contextualSpacing/>
    </w:pPr>
  </w:style>
  <w:style w:type="paragraph" w:styleId="20">
    <w:name w:val="List Bullet 2"/>
    <w:basedOn w:val="a1"/>
    <w:uiPriority w:val="99"/>
    <w:unhideWhenUsed/>
    <w:qFormat/>
    <w:pPr>
      <w:numPr>
        <w:numId w:val="6"/>
      </w:numPr>
      <w:contextualSpacing/>
    </w:pPr>
  </w:style>
  <w:style w:type="paragraph" w:styleId="ab">
    <w:name w:val="footer"/>
    <w:basedOn w:val="a1"/>
    <w:link w:val="ac"/>
    <w:uiPriority w:val="99"/>
    <w:unhideWhenUsed/>
    <w:qFormat/>
    <w:pPr>
      <w:tabs>
        <w:tab w:val="center" w:pos="4680"/>
        <w:tab w:val="right" w:pos="9360"/>
      </w:tabs>
      <w:spacing w:after="0" w:line="240" w:lineRule="auto"/>
    </w:pPr>
  </w:style>
  <w:style w:type="paragraph" w:styleId="ad">
    <w:name w:val="header"/>
    <w:basedOn w:val="a1"/>
    <w:link w:val="ae"/>
    <w:uiPriority w:val="99"/>
    <w:unhideWhenUsed/>
    <w:qFormat/>
    <w:pPr>
      <w:tabs>
        <w:tab w:val="center" w:pos="4680"/>
        <w:tab w:val="right" w:pos="9360"/>
      </w:tabs>
      <w:spacing w:after="0" w:line="240" w:lineRule="auto"/>
    </w:pPr>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Cs w:val="24"/>
    </w:rPr>
  </w:style>
  <w:style w:type="paragraph" w:styleId="af1">
    <w:name w:val="List"/>
    <w:basedOn w:val="a1"/>
    <w:uiPriority w:val="99"/>
    <w:unhideWhenUsed/>
    <w:qFormat/>
    <w:pPr>
      <w:ind w:left="360" w:hanging="360"/>
      <w:contextualSpacing/>
    </w:pPr>
  </w:style>
  <w:style w:type="paragraph" w:styleId="24">
    <w:name w:val="Body Text 2"/>
    <w:basedOn w:val="a1"/>
    <w:link w:val="25"/>
    <w:uiPriority w:val="99"/>
    <w:unhideWhenUsed/>
    <w:qFormat/>
    <w:pPr>
      <w:spacing w:after="120" w:line="480" w:lineRule="auto"/>
    </w:pPr>
  </w:style>
  <w:style w:type="paragraph" w:styleId="26">
    <w:name w:val="List Continue 2"/>
    <w:basedOn w:val="a1"/>
    <w:uiPriority w:val="99"/>
    <w:unhideWhenUsed/>
    <w:qFormat/>
    <w:pPr>
      <w:spacing w:after="120"/>
      <w:ind w:left="720"/>
      <w:contextualSpacing/>
    </w:pPr>
  </w:style>
  <w:style w:type="paragraph" w:styleId="36">
    <w:name w:val="List Continue 3"/>
    <w:basedOn w:val="a1"/>
    <w:uiPriority w:val="99"/>
    <w:unhideWhenUsed/>
    <w:qFormat/>
    <w:pPr>
      <w:spacing w:after="120"/>
      <w:ind w:left="1080"/>
      <w:contextualSpacing/>
    </w:pPr>
  </w:style>
  <w:style w:type="paragraph" w:styleId="af2">
    <w:name w:val="Title"/>
    <w:basedOn w:val="a1"/>
    <w:next w:val="a1"/>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4">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3"/>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3"/>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3"/>
    <w:uiPriority w:val="70"/>
    <w:qFormat/>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qFormat/>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qFormat/>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qFormat/>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qFormat/>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qFormat/>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qFormat/>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3"/>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3"/>
    <w:uiPriority w:val="72"/>
    <w:qFormat/>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qFormat/>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qFormat/>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qFormat/>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qFormat/>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qFormat/>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qFormat/>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3"/>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2"/>
    <w:uiPriority w:val="22"/>
    <w:qFormat/>
    <w:rPr>
      <w:b/>
      <w:bCs/>
    </w:rPr>
  </w:style>
  <w:style w:type="character" w:styleId="afd">
    <w:name w:val="Emphasis"/>
    <w:basedOn w:val="a2"/>
    <w:uiPriority w:val="20"/>
    <w:qFormat/>
    <w:rPr>
      <w:i/>
      <w:iCs/>
    </w:rPr>
  </w:style>
  <w:style w:type="character" w:customStyle="1" w:styleId="ae">
    <w:name w:val="页眉 字符"/>
    <w:basedOn w:val="a2"/>
    <w:link w:val="ad"/>
    <w:uiPriority w:val="99"/>
    <w:qFormat/>
  </w:style>
  <w:style w:type="character" w:customStyle="1" w:styleId="ac">
    <w:name w:val="页脚 字符"/>
    <w:basedOn w:val="a2"/>
    <w:link w:val="ab"/>
    <w:uiPriority w:val="99"/>
    <w:qFormat/>
  </w:style>
  <w:style w:type="paragraph" w:styleId="afe">
    <w:name w:val="No Spacing"/>
    <w:uiPriority w:val="1"/>
    <w:qFormat/>
    <w:rPr>
      <w:sz w:val="22"/>
      <w:szCs w:val="22"/>
      <w:lang w:eastAsia="en-US"/>
    </w:rPr>
  </w:style>
  <w:style w:type="character" w:customStyle="1" w:styleId="10">
    <w:name w:val="标题 1 字符"/>
    <w:basedOn w:val="a2"/>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qFormat/>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qFormat/>
    <w:rPr>
      <w:rFonts w:asciiTheme="majorHAnsi" w:eastAsiaTheme="majorEastAsia" w:hAnsiTheme="majorHAnsi" w:cstheme="majorBidi"/>
      <w:b/>
      <w:bCs/>
      <w:color w:val="4F81BD" w:themeColor="accent1"/>
    </w:rPr>
  </w:style>
  <w:style w:type="character" w:customStyle="1" w:styleId="af3">
    <w:name w:val="标题 字符"/>
    <w:basedOn w:val="a2"/>
    <w:link w:val="af2"/>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qFormat/>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pPr>
      <w:ind w:left="720"/>
      <w:contextualSpacing/>
    </w:pPr>
  </w:style>
  <w:style w:type="character" w:customStyle="1" w:styleId="a9">
    <w:name w:val="正文文本 字符"/>
    <w:basedOn w:val="a2"/>
    <w:link w:val="a8"/>
    <w:uiPriority w:val="99"/>
    <w:qFormat/>
  </w:style>
  <w:style w:type="character" w:customStyle="1" w:styleId="25">
    <w:name w:val="正文文本 2 字符"/>
    <w:basedOn w:val="a2"/>
    <w:link w:val="24"/>
    <w:uiPriority w:val="99"/>
    <w:qFormat/>
  </w:style>
  <w:style w:type="character" w:customStyle="1" w:styleId="35">
    <w:name w:val="正文文本 3 字符"/>
    <w:basedOn w:val="a2"/>
    <w:link w:val="34"/>
    <w:uiPriority w:val="99"/>
    <w:qFormat/>
    <w:rPr>
      <w:sz w:val="16"/>
      <w:szCs w:val="16"/>
    </w:rPr>
  </w:style>
  <w:style w:type="character" w:customStyle="1" w:styleId="a6">
    <w:name w:val="宏文本 字符"/>
    <w:basedOn w:val="a2"/>
    <w:link w:val="a5"/>
    <w:uiPriority w:val="99"/>
    <w:qFormat/>
    <w:rPr>
      <w:rFonts w:ascii="Courier" w:hAnsi="Courier"/>
      <w:sz w:val="20"/>
      <w:szCs w:val="20"/>
    </w:rPr>
  </w:style>
  <w:style w:type="paragraph" w:styleId="aff0">
    <w:name w:val="Quote"/>
    <w:basedOn w:val="a1"/>
    <w:next w:val="a1"/>
    <w:link w:val="aff1"/>
    <w:uiPriority w:val="29"/>
    <w:qFormat/>
    <w:rPr>
      <w:i/>
      <w:iCs/>
      <w:color w:val="000000" w:themeColor="text1"/>
    </w:rPr>
  </w:style>
  <w:style w:type="character" w:customStyle="1" w:styleId="aff1">
    <w:name w:val="引用 字符"/>
    <w:basedOn w:val="a2"/>
    <w:link w:val="aff0"/>
    <w:uiPriority w:val="29"/>
    <w:qFormat/>
    <w:rPr>
      <w:i/>
      <w:iCs/>
      <w:color w:val="000000" w:themeColor="text1"/>
    </w:rPr>
  </w:style>
  <w:style w:type="character" w:customStyle="1" w:styleId="40">
    <w:name w:val="标题 4 字符"/>
    <w:basedOn w:val="a2"/>
    <w:link w:val="4"/>
    <w:uiPriority w:val="9"/>
    <w:semiHidden/>
    <w:qFormat/>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qFormat/>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qFormat/>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qFormat/>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qFormat/>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qFormat/>
    <w:rPr>
      <w:rFonts w:asciiTheme="majorHAnsi" w:eastAsiaTheme="majorEastAsia" w:hAnsiTheme="majorHAnsi" w:cstheme="majorBidi"/>
      <w:i/>
      <w:iCs/>
      <w:color w:val="404040" w:themeColor="text1" w:themeTint="BF"/>
      <w:sz w:val="20"/>
      <w:szCs w:val="20"/>
    </w:rPr>
  </w:style>
  <w:style w:type="paragraph" w:styleId="aff2">
    <w:name w:val="Intense Quote"/>
    <w:basedOn w:val="a1"/>
    <w:next w:val="a1"/>
    <w:link w:val="aff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3">
    <w:name w:val="明显引用 字符"/>
    <w:basedOn w:val="a2"/>
    <w:link w:val="aff2"/>
    <w:uiPriority w:val="30"/>
    <w:qFormat/>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
    <w:name w:val="TOC 标题1"/>
    <w:basedOn w:val="1"/>
    <w:next w:val="a1"/>
    <w:uiPriority w:val="39"/>
    <w:semiHidden/>
    <w:unhideWhenUsed/>
    <w:qFormat/>
    <w:pPr>
      <w:outlineLvl w:val="9"/>
    </w:pPr>
  </w:style>
  <w:style w:type="paragraph" w:customStyle="1" w:styleId="aff4">
    <w:name w:val="段"/>
    <w:qFormat/>
    <w:pPr>
      <w:autoSpaceDE w:val="0"/>
      <w:autoSpaceDN w:val="0"/>
      <w:ind w:firstLineChars="200" w:firstLine="420"/>
      <w:jc w:val="both"/>
    </w:pPr>
    <w:rPr>
      <w:rFonts w:ascii="宋体" w:eastAsia="宋体" w:hAnsi="Times New Roman"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1329</Words>
  <Characters>7580</Characters>
  <Application>Microsoft Office Word</Application>
  <DocSecurity>0</DocSecurity>
  <Lines>63</Lines>
  <Paragraphs>17</Paragraphs>
  <ScaleCrop>false</ScaleCrop>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cxr@aitisa.org.cn</cp:lastModifiedBy>
  <cp:revision>4</cp:revision>
  <dcterms:created xsi:type="dcterms:W3CDTF">2026-07-17T08:35:00Z</dcterms:created>
  <dcterms:modified xsi:type="dcterms:W3CDTF">2026-07-17T08:49:00Z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eyJoZGlkIjoiYWQ5NTNiM2UyMjUwNDg5MTMxZTQ1M2QyYWJkMmM5ZTkiLCJ1c2VySWQiOiIxMDM1MjkyNzU5In0=</vt:lpwstr>
  </property>
  <property fmtid="{D5CDD505-2E9C-101B-9397-08002B2CF9AE}" pid="3" name="KSOProductBuildVer">
    <vt:lpwstr>2052-12.1.0.26895</vt:lpwstr>
  </property>
  <property fmtid="{D5CDD505-2E9C-101B-9397-08002B2CF9AE}" pid="4" name="ICV">
    <vt:lpwstr>B84A8AC427FB406B8FE15ABAC606055D_13</vt:lpwstr>
  </property>
</Properties>
</file>