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A1555">
      <w:pPr>
        <w:jc w:val="center"/>
      </w:pPr>
      <w:r>
        <w:rPr>
          <w:rFonts w:hint="eastAsia" w:ascii="黑体" w:hAnsi="黑体" w:eastAsia="黑体" w:cs="黑体"/>
          <w:b/>
          <w:bCs/>
          <w:sz w:val="32"/>
          <w:szCs w:val="32"/>
        </w:rPr>
        <w:t>团体标准《人工智能算力网络 第12部分：数据资源流通交易统一规范与接口》（征求意见稿）编制说明</w:t>
      </w:r>
    </w:p>
    <w:p w14:paraId="67C11579"/>
    <w:p w14:paraId="7561BA9D">
      <w:pPr>
        <w:numPr>
          <w:ilvl w:val="0"/>
          <w:numId w:val="1"/>
        </w:numPr>
        <w:spacing w:line="360" w:lineRule="auto"/>
        <w:rPr>
          <w:rFonts w:ascii="宋体" w:hAnsi="宋体" w:eastAsia="宋体" w:cs="宋体"/>
          <w:b/>
          <w:bCs/>
          <w:sz w:val="24"/>
        </w:rPr>
      </w:pPr>
      <w:r>
        <w:rPr>
          <w:rFonts w:hint="eastAsia" w:ascii="宋体" w:hAnsi="宋体" w:eastAsia="宋体" w:cs="宋体"/>
          <w:b/>
          <w:bCs/>
          <w:sz w:val="24"/>
        </w:rPr>
        <w:t>工作简况</w:t>
      </w:r>
    </w:p>
    <w:p w14:paraId="29671B8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本标准工作组自202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月第1</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次会议开始，讨论启动人工智能算力网络</w:t>
      </w:r>
      <w:r>
        <w:rPr>
          <w:rFonts w:hint="eastAsia" w:ascii="宋体" w:hAnsi="宋体" w:eastAsia="宋体" w:cs="宋体"/>
          <w:sz w:val="24"/>
          <w:highlight w:val="none"/>
          <w:lang w:val="en-US" w:eastAsia="zh-CN"/>
        </w:rPr>
        <w:t>数据资源流通交易相关标准</w:t>
      </w:r>
      <w:r>
        <w:rPr>
          <w:rFonts w:hint="eastAsia" w:ascii="宋体" w:hAnsi="宋体" w:eastAsia="宋体" w:cs="宋体"/>
          <w:sz w:val="24"/>
          <w:highlight w:val="none"/>
        </w:rPr>
        <w:t>制定工作，通过了《人工智能算力网络 第12部分：数据资源流通交易》</w:t>
      </w:r>
      <w:r>
        <w:rPr>
          <w:rFonts w:hint="eastAsia" w:ascii="宋体" w:hAnsi="宋体" w:eastAsia="宋体" w:cs="宋体"/>
          <w:sz w:val="24"/>
          <w:highlight w:val="none"/>
          <w:lang w:val="en-US" w:eastAsia="zh-CN"/>
        </w:rPr>
        <w:t>标准需求</w:t>
      </w:r>
      <w:r>
        <w:rPr>
          <w:rFonts w:hint="eastAsia" w:ascii="宋体" w:hAnsi="宋体" w:eastAsia="宋体" w:cs="宋体"/>
          <w:sz w:val="24"/>
          <w:highlight w:val="none"/>
        </w:rPr>
        <w:t>提案，并输出需求文档。2022年</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月AI标准工作组第</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次会议</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工作组正式将</w:t>
      </w:r>
      <w:r>
        <w:rPr>
          <w:rFonts w:hint="eastAsia" w:ascii="宋体" w:hAnsi="宋体" w:eastAsia="宋体" w:cs="宋体"/>
          <w:sz w:val="24"/>
          <w:highlight w:val="none"/>
        </w:rPr>
        <w:t>《人工智能算力网络 第12部分：数据资源流通交易》</w:t>
      </w:r>
      <w:r>
        <w:rPr>
          <w:rFonts w:hint="eastAsia" w:ascii="宋体" w:hAnsi="宋体" w:eastAsia="宋体" w:cs="宋体"/>
          <w:sz w:val="24"/>
          <w:highlight w:val="none"/>
          <w:lang w:val="en-US" w:eastAsia="zh-CN"/>
        </w:rPr>
        <w:t>更名为</w:t>
      </w:r>
      <w:r>
        <w:rPr>
          <w:rFonts w:hint="eastAsia" w:ascii="宋体" w:hAnsi="宋体" w:eastAsia="宋体" w:cs="宋体"/>
          <w:sz w:val="24"/>
          <w:highlight w:val="none"/>
        </w:rPr>
        <w:t>《人工智能算力网络 第12部</w:t>
      </w:r>
      <w:bookmarkStart w:id="0" w:name="_GoBack"/>
      <w:bookmarkEnd w:id="0"/>
      <w:r>
        <w:rPr>
          <w:rFonts w:hint="eastAsia" w:ascii="宋体" w:hAnsi="宋体" w:eastAsia="宋体" w:cs="宋体"/>
          <w:sz w:val="24"/>
          <w:highlight w:val="none"/>
        </w:rPr>
        <w:t>分：数据资源流通交易统一规范与接口</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，并</w:t>
      </w:r>
      <w:r>
        <w:rPr>
          <w:rFonts w:hint="eastAsia" w:ascii="宋体" w:hAnsi="宋体" w:eastAsia="宋体" w:cs="宋体"/>
          <w:sz w:val="24"/>
          <w:highlight w:val="none"/>
        </w:rPr>
        <w:t>通过提案征集书，输出《人工智能算力网络 第12部分：数据资源流通交易统一规范与接口 提案征集书》</w:t>
      </w:r>
      <w:r>
        <w:rPr>
          <w:rFonts w:hint="eastAsia" w:ascii="宋体" w:hAnsi="宋体" w:eastAsia="宋体" w:cs="宋体"/>
          <w:sz w:val="24"/>
          <w:highlight w:val="none"/>
          <w:lang w:eastAsia="zh-CN"/>
        </w:rPr>
        <w:t>。</w:t>
      </w:r>
      <w:r>
        <w:rPr>
          <w:rFonts w:hint="eastAsia" w:ascii="宋体" w:hAnsi="宋体" w:eastAsia="宋体" w:cs="宋体"/>
          <w:sz w:val="24"/>
          <w:highlight w:val="none"/>
        </w:rPr>
        <w:t>2022年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月AI标准工作组第</w:t>
      </w: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次会议</w:t>
      </w:r>
      <w:r>
        <w:rPr>
          <w:rFonts w:hint="eastAsia" w:ascii="宋体" w:hAnsi="宋体" w:eastAsia="宋体" w:cs="宋体"/>
          <w:sz w:val="24"/>
          <w:highlight w:val="none"/>
          <w:lang w:val="en-US" w:eastAsia="zh-CN"/>
        </w:rPr>
        <w:t>数据资源流通交易标准需求修订提案</w:t>
      </w:r>
      <w:r>
        <w:rPr>
          <w:rFonts w:hint="eastAsia" w:ascii="宋体" w:hAnsi="宋体" w:eastAsia="宋体" w:cs="宋体"/>
          <w:sz w:val="24"/>
          <w:highlight w:val="none"/>
        </w:rPr>
        <w:t>，会上经过讨论修改，通过了《人工智能算力网络 第12部分：数据资源流通交易统一规范与接口》</w:t>
      </w:r>
      <w:r>
        <w:rPr>
          <w:rFonts w:hint="eastAsia" w:ascii="宋体" w:hAnsi="宋体" w:eastAsia="宋体" w:cs="宋体"/>
          <w:sz w:val="24"/>
          <w:highlight w:val="none"/>
          <w:lang w:val="en-US" w:eastAsia="zh-CN"/>
        </w:rPr>
        <w:t>标准</w:t>
      </w:r>
      <w:r>
        <w:rPr>
          <w:rFonts w:hint="eastAsia" w:ascii="宋体" w:hAnsi="宋体" w:eastAsia="宋体" w:cs="宋体"/>
          <w:sz w:val="24"/>
          <w:highlight w:val="none"/>
        </w:rPr>
        <w:t>提案，并输出《人工智能算力网络 第12部分：数据资源流通交易统一规范与接口 WD v0.1》。工作组于202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月至202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月，经历</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次会议（202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12月</w:t>
      </w: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29</w:t>
      </w:r>
      <w:r>
        <w:rPr>
          <w:rFonts w:hint="eastAsia" w:ascii="宋体" w:hAnsi="宋体" w:eastAsia="宋体" w:cs="宋体"/>
          <w:sz w:val="24"/>
          <w:highlight w:val="none"/>
        </w:rPr>
        <w:t>次会议，202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月第</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次会议，202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月第</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次会议），经讨论修改更新了</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份《人工智能算力网络 第12部分：数据资源流通交易统一规范与接口》提案。</w:t>
      </w:r>
    </w:p>
    <w:p w14:paraId="654C75F0">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月，根据中关村视听产业技术创新联盟2023年标准制修订计划的安排（AITISA【2</w:t>
      </w:r>
      <w:r>
        <w:rPr>
          <w:rFonts w:ascii="宋体" w:hAnsi="宋体" w:eastAsia="宋体" w:cs="宋体"/>
          <w:sz w:val="24"/>
          <w:highlight w:val="none"/>
        </w:rPr>
        <w:t>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号文），下达了由鹏城实验室牵头制定团体标准《人工智能算力网络 第12部分：数据资源流通交易统一规范与接口》（标准计划号：2024071001）的制定任务。202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月，经第</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次会议讨论批准，同意团体标准《人工智能算力网络 第12部分：数据资源流通交易统一规范与接口》进入</w:t>
      </w:r>
      <w:r>
        <w:rPr>
          <w:rFonts w:hint="eastAsia" w:ascii="宋体" w:hAnsi="宋体" w:eastAsia="宋体" w:cs="宋体"/>
          <w:sz w:val="24"/>
        </w:rPr>
        <w:t>征求意见阶段，更新WD版本为0.5，输出征求意见稿。</w:t>
      </w:r>
    </w:p>
    <w:p w14:paraId="415572FF">
      <w:pPr>
        <w:spacing w:line="360" w:lineRule="auto"/>
        <w:ind w:firstLine="480" w:firstLineChars="200"/>
        <w:rPr>
          <w:rFonts w:ascii="宋体" w:hAnsi="宋体" w:eastAsia="宋体" w:cs="宋体"/>
          <w:sz w:val="24"/>
        </w:rPr>
      </w:pPr>
      <w:r>
        <w:rPr>
          <w:rFonts w:hint="eastAsia" w:ascii="宋体" w:hAnsi="宋体" w:eastAsia="宋体" w:cs="宋体"/>
          <w:sz w:val="24"/>
        </w:rPr>
        <w:t>本项目的主要起草单位包括鹏城实验室、北京大学、北京大学长沙计算与数字经济研究院、国防科技大学、中国联合网络通信有限公司广东省分公司。</w:t>
      </w:r>
    </w:p>
    <w:p w14:paraId="06296F51">
      <w:pPr>
        <w:spacing w:line="360" w:lineRule="auto"/>
        <w:ind w:firstLine="480" w:firstLineChars="200"/>
        <w:rPr>
          <w:rFonts w:ascii="宋体" w:hAnsi="宋体" w:eastAsia="宋体" w:cs="宋体"/>
          <w:sz w:val="24"/>
        </w:rPr>
      </w:pPr>
      <w:r>
        <w:rPr>
          <w:rFonts w:hint="eastAsia" w:ascii="宋体" w:hAnsi="宋体" w:eastAsia="宋体" w:cs="宋体"/>
          <w:sz w:val="24"/>
        </w:rPr>
        <w:t>本项目主要起草人：慕鑫、王宇，马银萍、樊春、曾凌波、张叶红、徐春香、张彤、马世龙、王晖、余跃、李若淼、付振新、杨宏辉、杨超、杨杰、薛凯、邓玲、程伟、曾楚轩、杜量、李飞鹏、邓诗贤。</w:t>
      </w:r>
    </w:p>
    <w:p w14:paraId="7EA01F42">
      <w:pPr>
        <w:spacing w:line="360" w:lineRule="auto"/>
        <w:ind w:firstLine="480" w:firstLineChars="200"/>
        <w:rPr>
          <w:rFonts w:ascii="宋体" w:hAnsi="宋体" w:eastAsia="宋体" w:cs="宋体"/>
          <w:sz w:val="24"/>
        </w:rPr>
      </w:pPr>
    </w:p>
    <w:p w14:paraId="5FDC26F4">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标准编制原则和确定主要内容的论据及解决的主要问题</w:t>
      </w:r>
    </w:p>
    <w:p w14:paraId="791B0851">
      <w:pPr>
        <w:pStyle w:val="4"/>
        <w:numPr>
          <w:ilvl w:val="0"/>
          <w:numId w:val="2"/>
        </w:numPr>
        <w:spacing w:line="360" w:lineRule="auto"/>
        <w:ind w:firstLine="420" w:firstLineChars="0"/>
        <w:rPr>
          <w:rFonts w:ascii="宋体" w:hAnsi="宋体" w:eastAsia="宋体" w:cs="宋体"/>
          <w:b/>
          <w:sz w:val="24"/>
        </w:rPr>
      </w:pPr>
      <w:r>
        <w:rPr>
          <w:rFonts w:hint="eastAsia" w:ascii="宋体" w:hAnsi="宋体" w:eastAsia="宋体" w:cs="宋体"/>
          <w:b/>
          <w:sz w:val="24"/>
        </w:rPr>
        <w:t>标准编制原则</w:t>
      </w:r>
    </w:p>
    <w:p w14:paraId="1D1AFEE5">
      <w:pPr>
        <w:pStyle w:val="4"/>
        <w:spacing w:line="360" w:lineRule="auto"/>
        <w:ind w:firstLine="480"/>
        <w:rPr>
          <w:rFonts w:ascii="宋体" w:hAnsi="宋体" w:eastAsia="宋体" w:cs="宋体"/>
          <w:sz w:val="24"/>
        </w:rPr>
      </w:pPr>
      <w:r>
        <w:rPr>
          <w:rFonts w:hint="eastAsia" w:ascii="宋体" w:hAnsi="宋体" w:eastAsia="宋体" w:cs="宋体"/>
          <w:sz w:val="24"/>
        </w:rPr>
        <w:t>《人工智能算力网络 第12部分：数据资源流通交易统一规范与接口》需适用于人工智能算力网络的总体设计和建设，</w:t>
      </w:r>
      <w:r>
        <w:rPr>
          <w:rFonts w:hint="eastAsia" w:hAnsi="宋体"/>
          <w:color w:val="000000"/>
          <w:sz w:val="24"/>
        </w:rPr>
        <w:t>为智算网络中的数据资源流通交易提供统一、规范的接口标准，以促进数据资源的互联互通、高效流转和价值变现，规定的技术要求结合产学研众多单位的意见，技术要求清晰、易操作、可实现。</w:t>
      </w:r>
    </w:p>
    <w:p w14:paraId="2FB14739">
      <w:pPr>
        <w:spacing w:line="360" w:lineRule="auto"/>
        <w:rPr>
          <w:rFonts w:ascii="宋体" w:hAnsi="宋体" w:eastAsia="宋体" w:cs="宋体"/>
          <w:b/>
          <w:sz w:val="24"/>
        </w:rPr>
      </w:pPr>
      <w:r>
        <w:rPr>
          <w:rFonts w:ascii="宋体" w:hAnsi="宋体" w:eastAsia="宋体" w:cs="宋体"/>
          <w:b/>
          <w:sz w:val="24"/>
        </w:rPr>
        <w:t xml:space="preserve">2. </w:t>
      </w:r>
      <w:r>
        <w:rPr>
          <w:rFonts w:hint="eastAsia" w:ascii="宋体" w:hAnsi="宋体" w:eastAsia="宋体" w:cs="宋体"/>
          <w:b/>
          <w:sz w:val="24"/>
        </w:rPr>
        <w:t>标准主要内容</w:t>
      </w:r>
    </w:p>
    <w:p w14:paraId="3F0619BE">
      <w:pPr>
        <w:spacing w:line="360" w:lineRule="auto"/>
        <w:ind w:firstLine="480" w:firstLineChars="200"/>
        <w:rPr>
          <w:rFonts w:ascii="宋体" w:hAnsi="宋体" w:eastAsia="宋体" w:cs="宋体"/>
          <w:sz w:val="24"/>
        </w:rPr>
      </w:pPr>
      <w:r>
        <w:rPr>
          <w:rFonts w:hint="eastAsia" w:ascii="宋体" w:hAnsi="宋体" w:eastAsia="宋体" w:cs="宋体"/>
          <w:sz w:val="24"/>
        </w:rPr>
        <w:t>本标准规定了人工智能算力网络</w:t>
      </w:r>
      <w:r>
        <w:rPr>
          <w:rFonts w:hint="eastAsia" w:ascii="宋体" w:hAnsi="宋体" w:eastAsia="宋体" w:cs="宋体"/>
          <w:sz w:val="24"/>
          <w:lang w:val="en-US" w:eastAsia="zh-CN"/>
        </w:rPr>
        <w:t>数据资源流通交易统一规范与接口</w:t>
      </w:r>
      <w:r>
        <w:rPr>
          <w:rFonts w:hint="eastAsia" w:ascii="宋体" w:hAnsi="宋体" w:eastAsia="宋体" w:cs="宋体"/>
          <w:sz w:val="24"/>
        </w:rPr>
        <w:t>的术语、系统架构、功能要求、各功能模块间的接口要求，适用于人工智能算力网络的总体设计和建设，为</w:t>
      </w:r>
      <w:r>
        <w:rPr>
          <w:rFonts w:hint="eastAsia" w:ascii="宋体" w:hAnsi="宋体" w:eastAsia="宋体" w:cs="宋体"/>
          <w:sz w:val="24"/>
          <w:lang w:val="en-US" w:eastAsia="zh-CN"/>
        </w:rPr>
        <w:t>人工智能算力网络下的数据市场、模型市场、应用市场等的</w:t>
      </w:r>
      <w:r>
        <w:rPr>
          <w:rFonts w:hint="eastAsia" w:ascii="宋体" w:hAnsi="宋体" w:eastAsia="宋体" w:cs="宋体"/>
          <w:sz w:val="24"/>
        </w:rPr>
        <w:t>开发、建设、测试提供规范化</w:t>
      </w:r>
      <w:r>
        <w:rPr>
          <w:rFonts w:hint="eastAsia" w:ascii="宋体" w:hAnsi="宋体" w:eastAsia="宋体" w:cs="宋体"/>
          <w:sz w:val="24"/>
          <w:lang w:eastAsia="zh-CN"/>
        </w:rPr>
        <w:t>的</w:t>
      </w:r>
      <w:r>
        <w:rPr>
          <w:rFonts w:hint="eastAsia" w:ascii="宋体" w:hAnsi="宋体" w:eastAsia="宋体" w:cs="宋体"/>
          <w:sz w:val="24"/>
          <w:lang w:val="en-US" w:eastAsia="zh-CN"/>
        </w:rPr>
        <w:t>参考建议</w:t>
      </w:r>
      <w:r>
        <w:rPr>
          <w:rFonts w:hint="eastAsia" w:ascii="宋体" w:hAnsi="宋体" w:eastAsia="宋体" w:cs="宋体"/>
          <w:sz w:val="24"/>
        </w:rPr>
        <w:t>。</w:t>
      </w:r>
    </w:p>
    <w:p w14:paraId="6816652A">
      <w:pPr>
        <w:spacing w:line="360" w:lineRule="auto"/>
        <w:ind w:firstLine="480" w:firstLineChars="200"/>
        <w:rPr>
          <w:rFonts w:hAnsi="宋体"/>
          <w:color w:val="000000"/>
          <w:sz w:val="24"/>
        </w:rPr>
      </w:pPr>
      <w:r>
        <w:rPr>
          <w:rFonts w:hint="eastAsia" w:ascii="宋体" w:hAnsi="宋体" w:eastAsia="宋体" w:cs="宋体"/>
          <w:sz w:val="24"/>
        </w:rPr>
        <w:t>本标准分为</w:t>
      </w:r>
      <w:r>
        <w:rPr>
          <w:rFonts w:hint="eastAsia" w:ascii="宋体" w:hAnsi="宋体" w:eastAsia="宋体" w:cs="宋体"/>
          <w:sz w:val="24"/>
          <w:lang w:val="en-US" w:eastAsia="zh-CN"/>
        </w:rPr>
        <w:t>8</w:t>
      </w:r>
      <w:r>
        <w:rPr>
          <w:rFonts w:hint="eastAsia" w:ascii="宋体" w:hAnsi="宋体" w:eastAsia="宋体" w:cs="宋体"/>
          <w:sz w:val="24"/>
        </w:rPr>
        <w:t>个章节</w:t>
      </w:r>
      <w:r>
        <w:rPr>
          <w:rFonts w:hint="eastAsia" w:ascii="宋体" w:hAnsi="宋体" w:eastAsia="宋体" w:cs="宋体"/>
          <w:sz w:val="24"/>
          <w:lang w:val="en-US" w:eastAsia="zh-CN"/>
        </w:rPr>
        <w:t>和1个附录</w:t>
      </w:r>
      <w:r>
        <w:rPr>
          <w:rFonts w:hint="eastAsia" w:ascii="宋体" w:hAnsi="宋体" w:eastAsia="宋体" w:cs="宋体"/>
          <w:sz w:val="24"/>
        </w:rPr>
        <w:t>，</w:t>
      </w:r>
      <w:r>
        <w:rPr>
          <w:rFonts w:hint="eastAsia" w:ascii="宋体" w:hAnsi="宋体" w:eastAsia="宋体" w:cs="宋体"/>
          <w:color w:val="000000"/>
          <w:sz w:val="24"/>
        </w:rPr>
        <w:t>第</w:t>
      </w:r>
      <w:r>
        <w:rPr>
          <w:rFonts w:hint="eastAsia" w:ascii="宋体" w:hAnsi="宋体" w:eastAsia="宋体" w:cs="宋体"/>
          <w:color w:val="000000"/>
          <w:sz w:val="24"/>
          <w:lang w:val="en-US" w:eastAsia="zh-CN"/>
        </w:rPr>
        <w:t>1</w:t>
      </w:r>
      <w:r>
        <w:rPr>
          <w:rFonts w:hint="eastAsia" w:ascii="宋体" w:hAnsi="宋体" w:eastAsia="宋体" w:cs="宋体"/>
          <w:color w:val="000000"/>
          <w:sz w:val="24"/>
        </w:rPr>
        <w:t>章“范围”；第</w:t>
      </w:r>
      <w:r>
        <w:rPr>
          <w:rFonts w:hint="eastAsia" w:ascii="宋体" w:hAnsi="宋体" w:eastAsia="宋体" w:cs="宋体"/>
          <w:color w:val="000000"/>
          <w:sz w:val="24"/>
          <w:lang w:val="en-US" w:eastAsia="zh-CN"/>
        </w:rPr>
        <w:t>2</w:t>
      </w:r>
      <w:r>
        <w:rPr>
          <w:rFonts w:hint="eastAsia" w:ascii="宋体" w:hAnsi="宋体" w:eastAsia="宋体" w:cs="宋体"/>
          <w:color w:val="000000"/>
          <w:sz w:val="24"/>
        </w:rPr>
        <w:t>章“规范性引用文件”；第</w:t>
      </w:r>
      <w:r>
        <w:rPr>
          <w:rFonts w:hint="eastAsia" w:ascii="宋体" w:hAnsi="宋体" w:eastAsia="宋体" w:cs="宋体"/>
          <w:color w:val="000000"/>
          <w:sz w:val="24"/>
          <w:lang w:val="en-US" w:eastAsia="zh-CN"/>
        </w:rPr>
        <w:t>3</w:t>
      </w:r>
      <w:r>
        <w:rPr>
          <w:rFonts w:hint="eastAsia" w:ascii="宋体" w:hAnsi="宋体" w:eastAsia="宋体" w:cs="宋体"/>
          <w:sz w:val="24"/>
        </w:rPr>
        <w:t>章“术语</w:t>
      </w:r>
      <w:r>
        <w:rPr>
          <w:rFonts w:hint="eastAsia" w:ascii="宋体" w:hAnsi="宋体" w:eastAsia="宋体" w:cs="宋体"/>
          <w:color w:val="000000"/>
          <w:sz w:val="24"/>
        </w:rPr>
        <w:t>”；第</w:t>
      </w:r>
      <w:r>
        <w:rPr>
          <w:rFonts w:hint="eastAsia" w:ascii="宋体" w:hAnsi="宋体" w:eastAsia="宋体" w:cs="宋体"/>
          <w:color w:val="000000"/>
          <w:sz w:val="24"/>
          <w:lang w:val="en-US" w:eastAsia="zh-CN"/>
        </w:rPr>
        <w:t>4</w:t>
      </w:r>
      <w:r>
        <w:rPr>
          <w:rFonts w:hint="eastAsia" w:ascii="宋体" w:hAnsi="宋体" w:eastAsia="宋体" w:cs="宋体"/>
          <w:color w:val="000000"/>
          <w:sz w:val="24"/>
        </w:rPr>
        <w:t>章“缩略语”；第</w:t>
      </w:r>
      <w:r>
        <w:rPr>
          <w:rFonts w:hint="eastAsia" w:ascii="宋体" w:hAnsi="宋体" w:eastAsia="宋体" w:cs="宋体"/>
          <w:color w:val="000000"/>
          <w:sz w:val="24"/>
          <w:lang w:val="en-US" w:eastAsia="zh-CN"/>
        </w:rPr>
        <w:t>5</w:t>
      </w:r>
      <w:r>
        <w:rPr>
          <w:rFonts w:hint="eastAsia" w:ascii="宋体" w:hAnsi="宋体" w:eastAsia="宋体" w:cs="宋体"/>
          <w:sz w:val="24"/>
        </w:rPr>
        <w:t>章“系统参考架构</w:t>
      </w:r>
      <w:r>
        <w:rPr>
          <w:rFonts w:hint="eastAsia" w:ascii="宋体" w:hAnsi="宋体" w:eastAsia="宋体" w:cs="宋体"/>
          <w:color w:val="000000"/>
          <w:sz w:val="24"/>
        </w:rPr>
        <w:t>”</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第6章“对象角色”</w:t>
      </w:r>
      <w:r>
        <w:rPr>
          <w:rFonts w:hint="eastAsia" w:ascii="宋体" w:hAnsi="宋体" w:eastAsia="宋体" w:cs="宋体"/>
          <w:color w:val="000000"/>
          <w:sz w:val="24"/>
        </w:rPr>
        <w:t>；第</w:t>
      </w:r>
      <w:r>
        <w:rPr>
          <w:rFonts w:hint="eastAsia" w:ascii="宋体" w:hAnsi="宋体" w:eastAsia="宋体" w:cs="宋体"/>
          <w:color w:val="000000"/>
          <w:sz w:val="24"/>
          <w:lang w:val="en-US" w:eastAsia="zh-CN"/>
        </w:rPr>
        <w:t>7</w:t>
      </w:r>
      <w:r>
        <w:rPr>
          <w:rFonts w:hint="eastAsia" w:ascii="宋体" w:hAnsi="宋体" w:eastAsia="宋体" w:cs="宋体"/>
          <w:color w:val="000000"/>
          <w:sz w:val="24"/>
        </w:rPr>
        <w:t>章“</w:t>
      </w:r>
      <w:r>
        <w:rPr>
          <w:rFonts w:hint="eastAsia" w:ascii="宋体" w:hAnsi="宋体" w:eastAsia="宋体" w:cs="宋体"/>
          <w:sz w:val="24"/>
        </w:rPr>
        <w:t>功能要求</w:t>
      </w:r>
      <w:r>
        <w:rPr>
          <w:rFonts w:hint="eastAsia" w:ascii="宋体" w:hAnsi="宋体" w:eastAsia="宋体" w:cs="宋体"/>
          <w:color w:val="000000"/>
          <w:sz w:val="24"/>
        </w:rPr>
        <w:t>”；第</w:t>
      </w:r>
      <w:r>
        <w:rPr>
          <w:rFonts w:hint="eastAsia" w:ascii="宋体" w:hAnsi="宋体" w:eastAsia="宋体" w:cs="宋体"/>
          <w:color w:val="000000"/>
          <w:sz w:val="24"/>
          <w:lang w:val="en-US" w:eastAsia="zh-CN"/>
        </w:rPr>
        <w:t>8</w:t>
      </w:r>
      <w:r>
        <w:rPr>
          <w:rFonts w:hint="eastAsia" w:ascii="宋体" w:hAnsi="宋体" w:eastAsia="宋体" w:cs="宋体"/>
          <w:color w:val="000000"/>
          <w:sz w:val="24"/>
        </w:rPr>
        <w:t>章“</w:t>
      </w:r>
      <w:r>
        <w:rPr>
          <w:rFonts w:hint="eastAsia" w:ascii="宋体" w:hAnsi="宋体" w:eastAsia="宋体" w:cs="宋体"/>
          <w:sz w:val="24"/>
        </w:rPr>
        <w:t>接口</w:t>
      </w:r>
      <w:r>
        <w:rPr>
          <w:rFonts w:hint="eastAsia" w:ascii="宋体" w:hAnsi="宋体" w:eastAsia="宋体" w:cs="宋体"/>
          <w:color w:val="000000"/>
          <w:sz w:val="24"/>
        </w:rPr>
        <w:t>要求”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附录A“接口说明”</w:t>
      </w:r>
      <w:r>
        <w:rPr>
          <w:rFonts w:hint="eastAsia" w:ascii="宋体" w:hAnsi="宋体" w:eastAsia="宋体" w:cs="宋体"/>
          <w:color w:val="000000"/>
          <w:sz w:val="24"/>
        </w:rPr>
        <w:t>。</w:t>
      </w:r>
    </w:p>
    <w:p w14:paraId="3E33DF9D">
      <w:pPr>
        <w:spacing w:line="360" w:lineRule="auto"/>
        <w:ind w:firstLine="480" w:firstLineChars="200"/>
        <w:rPr>
          <w:rFonts w:ascii="宋体" w:hAnsi="宋体" w:cs="宋体"/>
          <w:color w:val="000000"/>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1</w:t>
      </w:r>
      <w:r>
        <w:rPr>
          <w:rFonts w:hint="eastAsia" w:ascii="宋体" w:hAnsi="宋体" w:eastAsia="宋体" w:cs="宋体"/>
          <w:color w:val="000000"/>
          <w:sz w:val="24"/>
        </w:rPr>
        <w:t>章阐述了本</w:t>
      </w:r>
      <w:r>
        <w:rPr>
          <w:rFonts w:hint="eastAsia" w:ascii="宋体" w:hAnsi="宋体" w:eastAsia="宋体" w:cs="宋体"/>
          <w:sz w:val="24"/>
        </w:rPr>
        <w:t>标准</w:t>
      </w:r>
      <w:r>
        <w:rPr>
          <w:rFonts w:hint="eastAsia" w:ascii="宋体" w:hAnsi="宋体" w:eastAsia="宋体" w:cs="宋体"/>
          <w:color w:val="000000"/>
          <w:sz w:val="24"/>
        </w:rPr>
        <w:t>的主要内容及范围。</w:t>
      </w:r>
    </w:p>
    <w:p w14:paraId="67165E54">
      <w:pPr>
        <w:spacing w:line="360" w:lineRule="auto"/>
        <w:ind w:firstLine="480" w:firstLineChars="200"/>
        <w:rPr>
          <w:rFonts w:ascii="宋体" w:hAnsi="宋体" w:cs="宋体"/>
          <w:color w:val="000000"/>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2</w:t>
      </w:r>
      <w:r>
        <w:rPr>
          <w:rFonts w:hint="eastAsia" w:ascii="宋体" w:hAnsi="宋体" w:eastAsia="宋体" w:cs="宋体"/>
          <w:color w:val="000000"/>
          <w:sz w:val="24"/>
        </w:rPr>
        <w:t>章说明了本</w:t>
      </w:r>
      <w:r>
        <w:rPr>
          <w:rFonts w:hint="eastAsia" w:ascii="宋体" w:hAnsi="宋体" w:eastAsia="宋体" w:cs="宋体"/>
          <w:sz w:val="24"/>
        </w:rPr>
        <w:t>标准</w:t>
      </w:r>
      <w:r>
        <w:rPr>
          <w:rFonts w:hint="eastAsia" w:ascii="宋体" w:hAnsi="宋体" w:eastAsia="宋体" w:cs="宋体"/>
          <w:color w:val="000000"/>
          <w:sz w:val="24"/>
        </w:rPr>
        <w:t>的引用文件。</w:t>
      </w:r>
    </w:p>
    <w:p w14:paraId="602DA39E">
      <w:pPr>
        <w:spacing w:line="360" w:lineRule="auto"/>
        <w:ind w:firstLine="480" w:firstLineChars="200"/>
        <w:rPr>
          <w:rFonts w:ascii="宋体" w:hAnsi="宋体" w:cs="宋体"/>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3</w:t>
      </w:r>
      <w:r>
        <w:rPr>
          <w:rFonts w:hint="eastAsia" w:ascii="宋体" w:hAnsi="宋体" w:eastAsia="宋体" w:cs="宋体"/>
          <w:color w:val="000000"/>
          <w:sz w:val="24"/>
        </w:rPr>
        <w:t>章列出了本</w:t>
      </w:r>
      <w:r>
        <w:rPr>
          <w:rFonts w:hint="eastAsia" w:ascii="宋体" w:hAnsi="宋体" w:eastAsia="宋体" w:cs="宋体"/>
          <w:sz w:val="24"/>
        </w:rPr>
        <w:t>标准</w:t>
      </w:r>
      <w:r>
        <w:rPr>
          <w:rFonts w:hint="eastAsia" w:ascii="宋体" w:hAnsi="宋体" w:eastAsia="宋体" w:cs="宋体"/>
          <w:color w:val="000000"/>
          <w:sz w:val="24"/>
        </w:rPr>
        <w:t>中术语的引用和定义。</w:t>
      </w:r>
      <w:r>
        <w:rPr>
          <w:rFonts w:hint="eastAsia" w:ascii="宋体" w:hAnsi="宋体" w:eastAsia="宋体" w:cs="宋体"/>
          <w:sz w:val="24"/>
        </w:rPr>
        <w:t>从传统数据中心概念出发，进一步定义了“</w:t>
      </w:r>
      <w:r>
        <w:rPr>
          <w:rFonts w:hint="eastAsia" w:ascii="宋体" w:hAnsi="宋体" w:eastAsia="宋体" w:cs="宋体"/>
          <w:sz w:val="24"/>
          <w:lang w:val="en-US" w:eastAsia="zh-CN"/>
        </w:rPr>
        <w:t>数据资源</w:t>
      </w:r>
      <w:r>
        <w:rPr>
          <w:rFonts w:hint="eastAsia" w:ascii="宋体" w:hAnsi="宋体" w:eastAsia="宋体" w:cs="宋体"/>
          <w:sz w:val="24"/>
        </w:rPr>
        <w:t>”、“</w:t>
      </w:r>
      <w:r>
        <w:rPr>
          <w:rFonts w:hint="eastAsia" w:ascii="宋体" w:hAnsi="宋体" w:eastAsia="宋体" w:cs="宋体"/>
          <w:sz w:val="24"/>
          <w:lang w:val="en-US" w:eastAsia="zh-CN"/>
        </w:rPr>
        <w:t>数据集</w:t>
      </w:r>
      <w:r>
        <w:rPr>
          <w:rFonts w:hint="eastAsia" w:ascii="宋体" w:hAnsi="宋体" w:eastAsia="宋体" w:cs="宋体"/>
          <w:sz w:val="24"/>
        </w:rPr>
        <w:t>”等专业术语。</w:t>
      </w:r>
    </w:p>
    <w:p w14:paraId="51EABBD7">
      <w:pPr>
        <w:spacing w:line="360" w:lineRule="auto"/>
        <w:ind w:firstLine="480" w:firstLineChars="200"/>
        <w:rPr>
          <w:rFonts w:ascii="宋体" w:hAnsi="宋体" w:cs="宋体"/>
          <w:color w:val="000000"/>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4</w:t>
      </w:r>
      <w:r>
        <w:rPr>
          <w:rFonts w:hint="eastAsia" w:ascii="宋体" w:hAnsi="宋体" w:eastAsia="宋体" w:cs="宋体"/>
          <w:sz w:val="24"/>
        </w:rPr>
        <w:t>章列出了本标准</w:t>
      </w:r>
      <w:r>
        <w:rPr>
          <w:rFonts w:hint="eastAsia" w:ascii="宋体" w:hAnsi="宋体" w:eastAsia="宋体" w:cs="宋体"/>
          <w:color w:val="000000"/>
          <w:sz w:val="24"/>
        </w:rPr>
        <w:t>涉及的缩略语。</w:t>
      </w:r>
    </w:p>
    <w:p w14:paraId="3534FFF9">
      <w:pPr>
        <w:spacing w:line="360" w:lineRule="auto"/>
        <w:ind w:firstLine="480" w:firstLineChars="200"/>
        <w:rPr>
          <w:rFonts w:ascii="宋体" w:hAnsi="宋体" w:cs="宋体"/>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5</w:t>
      </w:r>
      <w:r>
        <w:rPr>
          <w:rFonts w:hint="eastAsia" w:ascii="宋体" w:hAnsi="宋体" w:eastAsia="宋体" w:cs="宋体"/>
          <w:color w:val="000000"/>
          <w:sz w:val="24"/>
        </w:rPr>
        <w:t>章给出了</w:t>
      </w:r>
      <w:r>
        <w:rPr>
          <w:rFonts w:hint="eastAsia" w:ascii="宋体" w:hAnsi="宋体" w:eastAsia="宋体" w:cs="宋体"/>
          <w:sz w:val="24"/>
        </w:rPr>
        <w:t>智算网络的总体参考架构以及</w:t>
      </w:r>
      <w:r>
        <w:rPr>
          <w:rFonts w:hint="eastAsia" w:ascii="宋体" w:hAnsi="宋体" w:eastAsia="宋体" w:cs="宋体"/>
          <w:sz w:val="24"/>
          <w:lang w:val="en-US" w:eastAsia="zh-CN"/>
        </w:rPr>
        <w:t>数据资源流通交易的</w:t>
      </w:r>
      <w:r>
        <w:rPr>
          <w:rFonts w:hint="eastAsia" w:ascii="宋体" w:hAnsi="宋体" w:eastAsia="宋体" w:cs="宋体"/>
          <w:sz w:val="24"/>
        </w:rPr>
        <w:t>参考架构。</w:t>
      </w:r>
    </w:p>
    <w:p w14:paraId="4D4CB744">
      <w:pPr>
        <w:spacing w:line="360" w:lineRule="auto"/>
        <w:ind w:firstLine="480" w:firstLineChars="200"/>
        <w:rPr>
          <w:rFonts w:ascii="宋体" w:hAnsi="宋体" w:cs="宋体"/>
          <w:sz w:val="24"/>
        </w:rPr>
      </w:pPr>
      <w:r>
        <w:rPr>
          <w:rFonts w:hint="eastAsia" w:ascii="宋体" w:hAnsi="宋体" w:eastAsia="宋体" w:cs="宋体"/>
          <w:color w:val="000000"/>
          <w:sz w:val="24"/>
        </w:rPr>
        <w:t>第</w:t>
      </w:r>
      <w:r>
        <w:rPr>
          <w:rFonts w:hint="eastAsia" w:ascii="宋体" w:hAnsi="宋体" w:eastAsia="宋体" w:cs="宋体"/>
          <w:color w:val="000000"/>
          <w:sz w:val="24"/>
          <w:lang w:val="en-US" w:eastAsia="zh-CN"/>
        </w:rPr>
        <w:t>6</w:t>
      </w:r>
      <w:r>
        <w:rPr>
          <w:rFonts w:hint="eastAsia" w:ascii="宋体" w:hAnsi="宋体" w:eastAsia="宋体" w:cs="宋体"/>
          <w:color w:val="000000"/>
          <w:sz w:val="24"/>
        </w:rPr>
        <w:t>章</w:t>
      </w:r>
      <w:r>
        <w:rPr>
          <w:rFonts w:hint="eastAsia" w:ascii="宋体" w:hAnsi="宋体" w:eastAsia="宋体" w:cs="宋体"/>
          <w:sz w:val="24"/>
        </w:rPr>
        <w:t>基于</w:t>
      </w:r>
      <w:r>
        <w:rPr>
          <w:rFonts w:hint="eastAsia" w:ascii="宋体" w:hAnsi="宋体" w:eastAsia="宋体" w:cs="宋体"/>
          <w:sz w:val="24"/>
          <w:lang w:val="en-US" w:eastAsia="zh-CN"/>
        </w:rPr>
        <w:t>介绍了数据资源流通交易涉及角色</w:t>
      </w:r>
      <w:r>
        <w:rPr>
          <w:rFonts w:hint="eastAsia" w:ascii="宋体" w:hAnsi="宋体" w:eastAsia="宋体" w:cs="宋体"/>
          <w:sz w:val="24"/>
        </w:rPr>
        <w:t>。</w:t>
      </w:r>
    </w:p>
    <w:p w14:paraId="131F944E">
      <w:pPr>
        <w:spacing w:line="360" w:lineRule="auto"/>
        <w:ind w:firstLine="480" w:firstLineChars="200"/>
        <w:rPr>
          <w:rFonts w:hint="eastAsia" w:ascii="宋体" w:hAnsi="宋体" w:eastAsia="宋体" w:cs="宋体"/>
          <w:sz w:val="24"/>
        </w:rPr>
      </w:pPr>
      <w:r>
        <w:rPr>
          <w:rFonts w:hint="eastAsia" w:ascii="宋体" w:hAnsi="宋体" w:eastAsia="宋体" w:cs="宋体"/>
          <w:sz w:val="24"/>
        </w:rPr>
        <w:t>第</w:t>
      </w:r>
      <w:r>
        <w:rPr>
          <w:rFonts w:ascii="宋体" w:hAnsi="宋体" w:eastAsia="宋体" w:cs="宋体"/>
          <w:sz w:val="24"/>
        </w:rPr>
        <w:t>7</w:t>
      </w:r>
      <w:r>
        <w:rPr>
          <w:rFonts w:hint="eastAsia" w:ascii="宋体" w:hAnsi="宋体" w:eastAsia="宋体" w:cs="宋体"/>
          <w:sz w:val="24"/>
        </w:rPr>
        <w:t>章基于第5章总体架构</w:t>
      </w:r>
      <w:r>
        <w:rPr>
          <w:rFonts w:hint="eastAsia" w:ascii="宋体" w:hAnsi="宋体" w:eastAsia="宋体" w:cs="宋体"/>
          <w:sz w:val="24"/>
          <w:lang w:val="en-US" w:eastAsia="zh-CN"/>
        </w:rPr>
        <w:t>和参考架构</w:t>
      </w:r>
      <w:r>
        <w:rPr>
          <w:rFonts w:hint="eastAsia" w:ascii="宋体" w:hAnsi="宋体" w:eastAsia="宋体" w:cs="宋体"/>
          <w:sz w:val="24"/>
        </w:rPr>
        <w:t>中的各业务分层关系，提出了智算网络运营层数据资源流通交易功能要求。</w:t>
      </w:r>
    </w:p>
    <w:p w14:paraId="081C3CF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第8章给出了智算网络运营层数据资源流通交易接口通用要求。</w:t>
      </w:r>
    </w:p>
    <w:p w14:paraId="0B160E9D">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附录A列出了数据资源流通交易统一规范与接口说明。</w:t>
      </w:r>
    </w:p>
    <w:p w14:paraId="3D893DB1">
      <w:pPr>
        <w:spacing w:line="360" w:lineRule="auto"/>
        <w:rPr>
          <w:rFonts w:ascii="宋体" w:hAnsi="宋体" w:eastAsia="宋体" w:cs="宋体"/>
          <w:b/>
          <w:sz w:val="24"/>
        </w:rPr>
      </w:pPr>
      <w:r>
        <w:rPr>
          <w:rFonts w:ascii="宋体" w:hAnsi="宋体" w:eastAsia="宋体" w:cs="宋体"/>
          <w:b/>
          <w:sz w:val="24"/>
        </w:rPr>
        <w:t xml:space="preserve">3. </w:t>
      </w:r>
      <w:r>
        <w:rPr>
          <w:rFonts w:hint="eastAsia" w:ascii="宋体" w:hAnsi="宋体" w:eastAsia="宋体" w:cs="宋体"/>
          <w:b/>
          <w:sz w:val="24"/>
        </w:rPr>
        <w:t>解决的主要问题</w:t>
      </w:r>
    </w:p>
    <w:p w14:paraId="55108278">
      <w:pPr>
        <w:spacing w:line="360" w:lineRule="auto"/>
        <w:ind w:firstLine="480" w:firstLineChars="200"/>
        <w:rPr>
          <w:rFonts w:ascii="宋体" w:hAnsi="宋体" w:eastAsia="宋体" w:cs="宋体"/>
          <w:sz w:val="24"/>
        </w:rPr>
      </w:pPr>
      <w:r>
        <w:rPr>
          <w:rFonts w:hint="eastAsia" w:ascii="宋体" w:hAnsi="宋体" w:eastAsia="宋体" w:cs="宋体"/>
          <w:sz w:val="24"/>
        </w:rPr>
        <w:t>本标准拟解决以下问题：</w:t>
      </w:r>
    </w:p>
    <w:p w14:paraId="756A2742">
      <w:pPr>
        <w:spacing w:line="360" w:lineRule="auto"/>
        <w:ind w:firstLine="480" w:firstLineChars="200"/>
        <w:rPr>
          <w:rFonts w:ascii="宋体" w:hAnsi="宋体" w:eastAsia="宋体" w:cs="宋体"/>
          <w:sz w:val="24"/>
        </w:rPr>
      </w:pPr>
      <w:r>
        <w:rPr>
          <w:rFonts w:hint="eastAsia" w:ascii="宋体" w:hAnsi="宋体" w:eastAsia="宋体" w:cs="宋体"/>
          <w:sz w:val="24"/>
        </w:rPr>
        <w:t>1）降低开发和集成成本：统一的接口规范减少了各平台之间的适配工作，降低了系统开发和集成的复杂度和成本；</w:t>
      </w:r>
    </w:p>
    <w:p w14:paraId="0470FDE0">
      <w:pPr>
        <w:spacing w:line="360" w:lineRule="auto"/>
        <w:ind w:firstLine="480" w:firstLineChars="200"/>
        <w:rPr>
          <w:rFonts w:ascii="宋体" w:hAnsi="宋体" w:eastAsia="宋体" w:cs="宋体"/>
          <w:sz w:val="24"/>
        </w:rPr>
      </w:pPr>
      <w:r>
        <w:rPr>
          <w:rFonts w:hint="eastAsia" w:ascii="宋体" w:hAnsi="宋体" w:eastAsia="宋体" w:cs="宋体"/>
          <w:sz w:val="24"/>
        </w:rPr>
        <w:t>2）促进数据要素流通：规范化的交易环境有助于建立信任机制，鼓励更多数据资源提供方参与交易，促进数据要素的流通和价值释放；</w:t>
      </w:r>
    </w:p>
    <w:p w14:paraId="7DC82741">
      <w:pPr>
        <w:spacing w:line="360" w:lineRule="auto"/>
        <w:ind w:firstLine="480" w:firstLineChars="200"/>
        <w:rPr>
          <w:rFonts w:ascii="宋体" w:hAnsi="宋体" w:eastAsia="宋体" w:cs="宋体"/>
          <w:sz w:val="24"/>
        </w:rPr>
      </w:pPr>
      <w:r>
        <w:rPr>
          <w:rFonts w:hint="eastAsia" w:ascii="宋体" w:hAnsi="宋体" w:eastAsia="宋体" w:cs="宋体"/>
          <w:sz w:val="24"/>
        </w:rPr>
        <w:t>3）解决数据流通机制缺失问题：明确数据登记、需求匹配、结算交付全流程功能，针对可信空间受控数据设计专属接口，消除数据访问安全与隐私顾虑，打通多中心数据流通通道。</w:t>
      </w:r>
    </w:p>
    <w:p w14:paraId="03BBC966">
      <w:pPr>
        <w:spacing w:line="360" w:lineRule="auto"/>
        <w:ind w:firstLine="480" w:firstLineChars="200"/>
        <w:rPr>
          <w:rFonts w:ascii="宋体" w:hAnsi="宋体" w:eastAsia="宋体" w:cs="宋体"/>
          <w:sz w:val="24"/>
        </w:rPr>
      </w:pPr>
    </w:p>
    <w:p w14:paraId="562A0A25">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主要</w:t>
      </w:r>
      <w:r>
        <w:rPr>
          <w:rFonts w:hint="eastAsia"/>
          <w:b/>
          <w:color w:val="000000"/>
          <w:sz w:val="24"/>
        </w:rPr>
        <w:t>试验</w:t>
      </w:r>
      <w:r>
        <w:rPr>
          <w:rFonts w:hint="eastAsia" w:ascii="楷体_GB2312" w:eastAsia="楷体_GB2312"/>
          <w:b/>
          <w:color w:val="000000"/>
          <w:szCs w:val="21"/>
        </w:rPr>
        <w:t>[或验证]</w:t>
      </w:r>
      <w:r>
        <w:rPr>
          <w:rFonts w:hint="eastAsia"/>
          <w:b/>
          <w:color w:val="000000"/>
          <w:sz w:val="24"/>
        </w:rPr>
        <w:t>情</w:t>
      </w:r>
      <w:r>
        <w:rPr>
          <w:rFonts w:hint="eastAsia" w:ascii="宋体" w:hAnsi="宋体" w:eastAsia="宋体" w:cs="宋体"/>
          <w:b/>
          <w:bCs/>
          <w:sz w:val="24"/>
        </w:rPr>
        <w:t>况分析</w:t>
      </w:r>
    </w:p>
    <w:p w14:paraId="25D4213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标准通过定义清晰的接口和流程，可作为智算网络中数据资源流通交易系统的技术方案，既能确保数据资源在智算网络上有效流通，又可确保交易过程的规范性和安全性。标准中所涉及的数据资源流通交易接口已在相应多只算中心场景进行验证和测试。已被证明确实可行。</w:t>
      </w:r>
    </w:p>
    <w:p w14:paraId="560ABA15">
      <w:pPr>
        <w:spacing w:line="360" w:lineRule="auto"/>
        <w:ind w:firstLine="480" w:firstLineChars="200"/>
        <w:rPr>
          <w:rFonts w:ascii="宋体" w:hAnsi="宋体" w:eastAsia="宋体" w:cs="宋体"/>
          <w:sz w:val="24"/>
        </w:rPr>
      </w:pPr>
    </w:p>
    <w:p w14:paraId="74918A92">
      <w:pPr>
        <w:numPr>
          <w:ilvl w:val="0"/>
          <w:numId w:val="1"/>
        </w:numPr>
        <w:spacing w:line="360" w:lineRule="auto"/>
        <w:rPr>
          <w:rFonts w:ascii="宋体" w:hAnsi="宋体" w:eastAsia="宋体" w:cs="宋体"/>
          <w:b/>
          <w:bCs/>
          <w:sz w:val="24"/>
        </w:rPr>
      </w:pPr>
      <w:r>
        <w:rPr>
          <w:rFonts w:hint="eastAsia" w:ascii="宋体" w:hAnsi="宋体" w:eastAsia="宋体" w:cs="宋体"/>
          <w:b/>
          <w:bCs/>
          <w:sz w:val="24"/>
        </w:rPr>
        <w:t>知识产权情况说明</w:t>
      </w:r>
    </w:p>
    <w:p w14:paraId="13BF4E4E">
      <w:pPr>
        <w:spacing w:line="360" w:lineRule="auto"/>
        <w:ind w:firstLine="480" w:firstLineChars="200"/>
        <w:rPr>
          <w:rFonts w:ascii="宋体" w:hAnsi="宋体" w:eastAsia="宋体" w:cs="宋体"/>
          <w:sz w:val="24"/>
        </w:rPr>
      </w:pPr>
      <w:r>
        <w:rPr>
          <w:rFonts w:hint="eastAsia" w:hAnsi="Times New Roman" w:eastAsia="宋体" w:cs="Times New Roman"/>
          <w:sz w:val="24"/>
        </w:rPr>
        <w:t>本标准不涉及任何专利及知识产权。</w:t>
      </w:r>
    </w:p>
    <w:p w14:paraId="0272C781">
      <w:pPr>
        <w:spacing w:line="360" w:lineRule="auto"/>
        <w:ind w:firstLine="480" w:firstLineChars="200"/>
        <w:rPr>
          <w:rFonts w:ascii="宋体" w:hAnsi="宋体" w:eastAsia="宋体" w:cs="宋体"/>
          <w:sz w:val="24"/>
        </w:rPr>
      </w:pPr>
    </w:p>
    <w:p w14:paraId="085C561D">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采用国际标准和国外先进标准情况</w:t>
      </w:r>
    </w:p>
    <w:p w14:paraId="59605D7E">
      <w:pPr>
        <w:spacing w:line="360" w:lineRule="auto"/>
        <w:ind w:firstLine="480" w:firstLineChars="200"/>
        <w:rPr>
          <w:rFonts w:ascii="宋体" w:hAnsi="宋体" w:eastAsia="宋体" w:cs="宋体"/>
          <w:sz w:val="24"/>
        </w:rPr>
      </w:pPr>
      <w:r>
        <w:rPr>
          <w:rFonts w:hint="eastAsia" w:ascii="宋体" w:hAnsi="宋体" w:eastAsia="宋体" w:cs="宋体"/>
          <w:sz w:val="24"/>
        </w:rPr>
        <w:t>本部分未采用国际标准。</w:t>
      </w:r>
      <w:r>
        <w:rPr>
          <w:rFonts w:hint="eastAsia" w:ascii="宋体" w:hAnsi="宋体" w:eastAsia="宋体" w:cs="宋体"/>
          <w:sz w:val="24"/>
          <w:lang w:val="en-US" w:eastAsia="zh-CN"/>
        </w:rPr>
        <w:t>术语和定义参考了[2]GB/T 36343-2018《信息技术 数据交易服务平台 交易数据描述》和GB/T 33674-2017《气象数据集核心元数据》中关于数据资源和数据集的定义并给出了更贴合算力网络环境中的术语定义描述</w:t>
      </w:r>
      <w:r>
        <w:rPr>
          <w:rFonts w:hint="eastAsia" w:ascii="宋体" w:hAnsi="宋体" w:eastAsia="宋体" w:cs="宋体"/>
          <w:sz w:val="24"/>
        </w:rPr>
        <w:t>。</w:t>
      </w:r>
      <w:r>
        <w:rPr>
          <w:rFonts w:hint="eastAsia" w:ascii="宋体" w:hAnsi="宋体" w:eastAsia="宋体" w:cs="宋体"/>
          <w:sz w:val="24"/>
          <w:lang w:val="en-US" w:eastAsia="zh-CN"/>
        </w:rPr>
        <w:t>功能要求参考了[3]GB/T 37728-2019《信息技术 数据交易服务平台 通用功能要求》和GB/T 40094.3-2021《电子商务数据交易 第3部分：数据接口规范》中关于数据交易部分的相关功能描述，本标准给出了更为具体且更贴合算力网络环境的功能与接口规范描述</w:t>
      </w:r>
      <w:r>
        <w:rPr>
          <w:rFonts w:hint="eastAsia" w:ascii="宋体" w:hAnsi="宋体" w:eastAsia="宋体" w:cs="宋体"/>
          <w:sz w:val="24"/>
          <w:lang w:eastAsia="zh-CN"/>
        </w:rPr>
        <w:t>。</w:t>
      </w:r>
      <w:r>
        <w:rPr>
          <w:rFonts w:hint="eastAsia" w:ascii="宋体" w:hAnsi="宋体" w:eastAsia="宋体" w:cs="宋体"/>
          <w:sz w:val="24"/>
          <w:lang w:val="en-US" w:eastAsia="zh-CN"/>
        </w:rPr>
        <w:t>本标准提到的相关术语和功能描述</w:t>
      </w:r>
      <w:r>
        <w:rPr>
          <w:rFonts w:hint="eastAsia" w:ascii="宋体" w:hAnsi="宋体" w:eastAsia="宋体" w:cs="宋体"/>
          <w:sz w:val="24"/>
        </w:rPr>
        <w:t>不与以上</w:t>
      </w:r>
      <w:r>
        <w:rPr>
          <w:rFonts w:hint="eastAsia" w:ascii="宋体" w:hAnsi="宋体" w:eastAsia="宋体" w:cs="宋体"/>
          <w:sz w:val="24"/>
          <w:lang w:val="en-US" w:eastAsia="zh-CN"/>
        </w:rPr>
        <w:t>国际</w:t>
      </w:r>
      <w:r>
        <w:rPr>
          <w:rFonts w:hint="eastAsia" w:ascii="宋体" w:hAnsi="宋体" w:eastAsia="宋体" w:cs="宋体"/>
          <w:sz w:val="24"/>
        </w:rPr>
        <w:t>标准重复或冲突。</w:t>
      </w:r>
    </w:p>
    <w:p w14:paraId="60EF9C21">
      <w:pPr>
        <w:spacing w:line="360" w:lineRule="auto"/>
        <w:ind w:firstLine="480" w:firstLineChars="200"/>
        <w:rPr>
          <w:rFonts w:ascii="宋体" w:hAnsi="宋体" w:eastAsia="宋体" w:cs="宋体"/>
          <w:sz w:val="24"/>
        </w:rPr>
      </w:pPr>
    </w:p>
    <w:p w14:paraId="63458816">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与现行相关法律、法规、规章及相关标准的协调性</w:t>
      </w:r>
    </w:p>
    <w:p w14:paraId="06430133">
      <w:pPr>
        <w:spacing w:line="360" w:lineRule="auto"/>
        <w:ind w:left="482"/>
        <w:rPr>
          <w:rFonts w:hAnsi="宋体"/>
          <w:color w:val="000000"/>
          <w:sz w:val="24"/>
        </w:rPr>
      </w:pPr>
      <w:r>
        <w:rPr>
          <w:rFonts w:hint="eastAsia" w:hAnsi="宋体"/>
          <w:color w:val="000000"/>
          <w:sz w:val="24"/>
        </w:rPr>
        <w:t>本标准与现行相关法律、法规、规章及相关标准协调一致。</w:t>
      </w:r>
    </w:p>
    <w:p w14:paraId="5391B18E">
      <w:pPr>
        <w:spacing w:line="360" w:lineRule="auto"/>
        <w:ind w:left="482"/>
        <w:rPr>
          <w:rFonts w:ascii="宋体" w:hAnsi="宋体" w:eastAsia="宋体" w:cs="宋体"/>
          <w:b/>
          <w:bCs/>
          <w:sz w:val="24"/>
        </w:rPr>
      </w:pPr>
    </w:p>
    <w:p w14:paraId="17557EFD">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重大分歧意见的处理经过和依据</w:t>
      </w:r>
    </w:p>
    <w:p w14:paraId="45F560B0">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718B234A">
      <w:pPr>
        <w:spacing w:line="360" w:lineRule="auto"/>
        <w:ind w:firstLine="480" w:firstLineChars="200"/>
        <w:rPr>
          <w:rFonts w:ascii="宋体" w:hAnsi="宋体" w:eastAsia="宋体" w:cs="宋体"/>
          <w:sz w:val="24"/>
        </w:rPr>
      </w:pPr>
    </w:p>
    <w:p w14:paraId="01D5C88B">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标准性质的建议</w:t>
      </w:r>
    </w:p>
    <w:p w14:paraId="017B3D50">
      <w:pPr>
        <w:spacing w:line="360" w:lineRule="auto"/>
        <w:ind w:firstLine="480" w:firstLineChars="200"/>
        <w:rPr>
          <w:rFonts w:ascii="宋体" w:hAnsi="宋体" w:eastAsia="宋体" w:cs="宋体"/>
          <w:sz w:val="24"/>
        </w:rPr>
      </w:pPr>
      <w:r>
        <w:rPr>
          <w:rFonts w:hint="eastAsia" w:ascii="宋体" w:hAnsi="宋体" w:eastAsia="宋体" w:cs="宋体"/>
          <w:sz w:val="24"/>
        </w:rPr>
        <w:t>建议发布为推荐性标准。</w:t>
      </w:r>
    </w:p>
    <w:p w14:paraId="6FEBDE1C">
      <w:pPr>
        <w:spacing w:line="360" w:lineRule="auto"/>
        <w:ind w:firstLine="480" w:firstLineChars="200"/>
        <w:rPr>
          <w:rFonts w:ascii="宋体" w:hAnsi="宋体" w:eastAsia="宋体" w:cs="宋体"/>
          <w:sz w:val="24"/>
        </w:rPr>
      </w:pPr>
    </w:p>
    <w:p w14:paraId="46B4C3EA">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贯彻标准的要求和措施建议</w:t>
      </w:r>
    </w:p>
    <w:p w14:paraId="1FCCB676">
      <w:pPr>
        <w:spacing w:line="360" w:lineRule="auto"/>
        <w:ind w:firstLine="480" w:firstLineChars="200"/>
        <w:rPr>
          <w:rFonts w:ascii="宋体" w:hAnsi="宋体" w:eastAsia="宋体" w:cs="宋体"/>
          <w:sz w:val="24"/>
        </w:rPr>
      </w:pPr>
      <w:r>
        <w:rPr>
          <w:rFonts w:hint="eastAsia" w:ascii="宋体" w:hAnsi="宋体" w:eastAsia="宋体" w:cs="宋体"/>
          <w:sz w:val="24"/>
        </w:rPr>
        <w:t>本部分可单独使用，并宜与《人工智能算力网络》系列标准搭配使用。</w:t>
      </w:r>
    </w:p>
    <w:p w14:paraId="0B80872A">
      <w:pPr>
        <w:spacing w:line="360" w:lineRule="auto"/>
        <w:ind w:firstLine="480" w:firstLineChars="200"/>
        <w:rPr>
          <w:rFonts w:ascii="宋体" w:hAnsi="宋体" w:eastAsia="宋体" w:cs="宋体"/>
          <w:sz w:val="24"/>
        </w:rPr>
      </w:pPr>
    </w:p>
    <w:p w14:paraId="5CCE15DF">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替代或废止现行相关标准的建议</w:t>
      </w:r>
    </w:p>
    <w:p w14:paraId="6929EE04">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089CFFC6">
      <w:pPr>
        <w:spacing w:line="360" w:lineRule="auto"/>
        <w:ind w:firstLine="480" w:firstLineChars="200"/>
        <w:rPr>
          <w:rFonts w:ascii="宋体" w:hAnsi="宋体" w:eastAsia="宋体" w:cs="宋体"/>
          <w:sz w:val="24"/>
        </w:rPr>
      </w:pPr>
    </w:p>
    <w:p w14:paraId="0A0D0D20">
      <w:pPr>
        <w:numPr>
          <w:ilvl w:val="0"/>
          <w:numId w:val="1"/>
        </w:numPr>
        <w:spacing w:line="360" w:lineRule="auto"/>
        <w:rPr>
          <w:rFonts w:ascii="宋体" w:hAnsi="宋体" w:eastAsia="宋体" w:cs="宋体"/>
          <w:b/>
          <w:bCs/>
          <w:sz w:val="24"/>
        </w:rPr>
      </w:pPr>
      <w:r>
        <w:rPr>
          <w:rFonts w:hint="eastAsia" w:ascii="宋体" w:hAnsi="宋体" w:eastAsia="宋体" w:cs="宋体"/>
          <w:b/>
          <w:bCs/>
          <w:sz w:val="24"/>
        </w:rPr>
        <w:t>其它应予说明的事项</w:t>
      </w:r>
    </w:p>
    <w:p w14:paraId="31BD2EF6">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41BF5EE5">
      <w:pPr>
        <w:spacing w:line="360" w:lineRule="auto"/>
        <w:jc w:val="right"/>
        <w:rPr>
          <w:rFonts w:ascii="宋体" w:hAnsi="宋体" w:eastAsia="宋体" w:cs="宋体"/>
          <w:sz w:val="24"/>
        </w:rPr>
      </w:pPr>
    </w:p>
    <w:p w14:paraId="65A854A0">
      <w:pPr>
        <w:spacing w:line="360" w:lineRule="auto"/>
        <w:jc w:val="right"/>
        <w:rPr>
          <w:rFonts w:ascii="宋体" w:hAnsi="宋体" w:eastAsia="宋体" w:cs="宋体"/>
          <w:sz w:val="24"/>
        </w:rPr>
      </w:pPr>
    </w:p>
    <w:p w14:paraId="05C36B60">
      <w:pPr>
        <w:spacing w:line="360" w:lineRule="auto"/>
        <w:jc w:val="right"/>
        <w:rPr>
          <w:rFonts w:ascii="宋体" w:hAnsi="宋体" w:eastAsia="宋体" w:cs="宋体"/>
          <w:sz w:val="24"/>
        </w:rPr>
      </w:pPr>
    </w:p>
    <w:p w14:paraId="34FAEEE8">
      <w:pPr>
        <w:spacing w:line="360" w:lineRule="auto"/>
        <w:jc w:val="right"/>
        <w:rPr>
          <w:rFonts w:ascii="宋体" w:hAnsi="宋体" w:eastAsia="宋体" w:cs="宋体"/>
          <w:sz w:val="24"/>
        </w:rPr>
      </w:pPr>
    </w:p>
    <w:p w14:paraId="19AC1A7E">
      <w:pPr>
        <w:spacing w:line="360" w:lineRule="auto"/>
        <w:jc w:val="right"/>
        <w:rPr>
          <w:rFonts w:ascii="宋体" w:hAnsi="宋体" w:eastAsia="宋体" w:cs="宋体"/>
          <w:sz w:val="24"/>
        </w:rPr>
      </w:pPr>
    </w:p>
    <w:p w14:paraId="7A810FF0">
      <w:pPr>
        <w:spacing w:line="360" w:lineRule="auto"/>
        <w:jc w:val="right"/>
        <w:rPr>
          <w:rFonts w:ascii="宋体" w:hAnsi="宋体" w:eastAsia="宋体" w:cs="宋体"/>
          <w:sz w:val="24"/>
        </w:rPr>
      </w:pPr>
      <w:r>
        <w:rPr>
          <w:rFonts w:hint="eastAsia" w:ascii="宋体" w:hAnsi="宋体" w:eastAsia="宋体" w:cs="宋体"/>
          <w:sz w:val="24"/>
        </w:rPr>
        <w:t>团体标准《第12部分：数据资源流通交易统一规范与接口》编制工作组</w:t>
      </w:r>
    </w:p>
    <w:p w14:paraId="444D64EC">
      <w:pPr>
        <w:spacing w:line="360" w:lineRule="auto"/>
        <w:jc w:val="right"/>
        <w:rPr>
          <w:rFonts w:hint="default" w:ascii="宋体" w:hAnsi="宋体" w:eastAsia="宋体" w:cs="宋体"/>
          <w:sz w:val="24"/>
          <w:lang w:val="en-US" w:eastAsia="zh-CN"/>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10</w:t>
      </w:r>
    </w:p>
    <w:p w14:paraId="1A83C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F2E02"/>
    <w:multiLevelType w:val="singleLevel"/>
    <w:tmpl w:val="E3FF2E02"/>
    <w:lvl w:ilvl="0" w:tentative="0">
      <w:start w:val="1"/>
      <w:numFmt w:val="chineseCounting"/>
      <w:suff w:val="nothing"/>
      <w:lvlText w:val="%1、"/>
      <w:lvlJc w:val="left"/>
      <w:rPr>
        <w:rFonts w:hint="eastAsia"/>
      </w:rPr>
    </w:lvl>
  </w:abstractNum>
  <w:abstractNum w:abstractNumId="1">
    <w:nsid w:val="200E7C45"/>
    <w:multiLevelType w:val="multilevel"/>
    <w:tmpl w:val="200E7C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C30AE"/>
    <w:rsid w:val="0339658D"/>
    <w:rsid w:val="07CE3ADB"/>
    <w:rsid w:val="14CB6665"/>
    <w:rsid w:val="1FD75D28"/>
    <w:rsid w:val="23C40371"/>
    <w:rsid w:val="2D2F6A09"/>
    <w:rsid w:val="2E383E35"/>
    <w:rsid w:val="31401D64"/>
    <w:rsid w:val="37BD503C"/>
    <w:rsid w:val="3FEA38F1"/>
    <w:rsid w:val="557C30AE"/>
    <w:rsid w:val="5DE14AE4"/>
    <w:rsid w:val="615D1713"/>
    <w:rsid w:val="652A33F5"/>
    <w:rsid w:val="65516FAF"/>
    <w:rsid w:val="670D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2184</Words>
  <Characters>2329</Characters>
  <Lines>0</Lines>
  <Paragraphs>0</Paragraphs>
  <TotalTime>1045</TotalTime>
  <ScaleCrop>false</ScaleCrop>
  <LinksUpToDate>false</LinksUpToDate>
  <CharactersWithSpaces>2354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2025-10-16T03:06:00Z</dcterms:created>
  <dc:creator>上山打猫</dc:creator>
  <cp:lastModifiedBy>上山打猫</cp:lastModifiedBy>
  <dcterms:modified xsi:type="dcterms:W3CDTF">2025-10-17T03:16:17Z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481E5807DA4D4284B690531AFA005AAC_11</vt:lpwstr>
  </property>
  <property fmtid="{D5CDD505-2E9C-101B-9397-08002B2CF9AE}" pid="4" name="KSOTemplateDocerSaveRecord">
    <vt:lpwstr>eyJoZGlkIjoiODRhOTYxNWQ4N2UxOTE2MzMwMTg3Yjg3MjA0NjA0YmEiLCJ1c2VySWQiOiIxMjY4ODM3MDAwIn0=</vt:lpwstr>
  </property>
</Properties>
</file>